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1BAA9" w14:textId="7E649D6A" w:rsidR="00BA0730" w:rsidRDefault="00000000">
      <w:pPr>
        <w:pStyle w:val="Heading1"/>
        <w:spacing w:before="160" w:after="80"/>
        <w:rPr>
          <w:sz w:val="22"/>
          <w:szCs w:val="22"/>
        </w:rPr>
      </w:pPr>
      <w:r>
        <w:rPr>
          <w:b/>
          <w:bCs/>
          <w:color w:val="005F82"/>
          <w:sz w:val="22"/>
          <w:szCs w:val="22"/>
        </w:rPr>
        <w:t>Job Description: Data Analyst</w:t>
      </w:r>
    </w:p>
    <w:p w14:paraId="1E92D27E" w14:textId="77777777" w:rsidR="00BA0730" w:rsidRDefault="00000000">
      <w:pPr>
        <w:pStyle w:val="Heading2"/>
        <w:spacing w:before="80" w:after="80"/>
        <w:rPr>
          <w:sz w:val="22"/>
          <w:szCs w:val="22"/>
        </w:rPr>
      </w:pPr>
      <w:bookmarkStart w:id="0" w:name="_heading=h.l2rnl0rdtsmw" w:colFirst="0" w:colLast="0"/>
      <w:bookmarkEnd w:id="0"/>
      <w:r>
        <w:rPr>
          <w:b/>
          <w:bCs/>
          <w:color w:val="005F82"/>
          <w:sz w:val="22"/>
          <w:szCs w:val="22"/>
        </w:rPr>
        <w:t>Job Title</w:t>
      </w:r>
    </w:p>
    <w:p w14:paraId="01A1F13C" w14:textId="77777777" w:rsidR="00BA0730" w:rsidRDefault="00000000">
      <w:pPr>
        <w:spacing w:after="120" w:line="259" w:lineRule="auto"/>
        <w:jc w:val="both"/>
      </w:pPr>
      <w:r>
        <w:t>Data Analyst</w:t>
      </w:r>
    </w:p>
    <w:p w14:paraId="3CB04CE2" w14:textId="77777777" w:rsidR="00BA0730" w:rsidRDefault="00000000">
      <w:pPr>
        <w:pStyle w:val="Heading2"/>
        <w:spacing w:before="80" w:after="80"/>
        <w:rPr>
          <w:sz w:val="22"/>
          <w:szCs w:val="22"/>
        </w:rPr>
      </w:pPr>
      <w:bookmarkStart w:id="1" w:name="_heading=h.l51b1yjedagc" w:colFirst="0" w:colLast="0"/>
      <w:bookmarkEnd w:id="1"/>
      <w:r>
        <w:rPr>
          <w:b/>
          <w:bCs/>
          <w:color w:val="005F82"/>
          <w:sz w:val="22"/>
          <w:szCs w:val="22"/>
        </w:rPr>
        <w:t>Role Description / Summary</w:t>
      </w:r>
    </w:p>
    <w:p w14:paraId="52825BE2" w14:textId="77777777" w:rsidR="00BA0730" w:rsidRDefault="00000000">
      <w:pPr>
        <w:spacing w:after="120" w:line="259" w:lineRule="auto"/>
        <w:jc w:val="both"/>
      </w:pPr>
      <w:r>
        <w:t>The Data Analyst will strengthen TDM's data-driven decision-making by converting campaign, audience, media, PR, social, client and business data into clear insights, dashboards and recommendations. The role supports strategy, creative, digital, PR, media buying, client service and management by ensuring that reports move beyond data presentation to business interpretation. The Data Analyst will help TDM measure client results, improve delivery excellence, reduce reporting inconsistencies, support pitches and build repeatable measurement systems for a 360-degree agency model.</w:t>
      </w:r>
    </w:p>
    <w:p w14:paraId="6E0BD3FA" w14:textId="77777777" w:rsidR="00BA0730" w:rsidRDefault="00000000">
      <w:pPr>
        <w:pStyle w:val="Heading2"/>
        <w:spacing w:before="80" w:after="80"/>
        <w:rPr>
          <w:sz w:val="22"/>
          <w:szCs w:val="22"/>
        </w:rPr>
      </w:pPr>
      <w:bookmarkStart w:id="2" w:name="_heading=h.ydn9mjjq48y0" w:colFirst="0" w:colLast="0"/>
      <w:bookmarkEnd w:id="2"/>
      <w:r>
        <w:rPr>
          <w:b/>
          <w:bCs/>
          <w:color w:val="005F82"/>
          <w:sz w:val="22"/>
          <w:szCs w:val="22"/>
        </w:rPr>
        <w:t>Key Responsibilities</w:t>
      </w:r>
    </w:p>
    <w:p w14:paraId="56D006B8" w14:textId="77777777" w:rsidR="00BA0730" w:rsidRDefault="00000000">
      <w:pPr>
        <w:numPr>
          <w:ilvl w:val="0"/>
          <w:numId w:val="1"/>
        </w:numPr>
        <w:pBdr>
          <w:top w:val="nil"/>
          <w:left w:val="nil"/>
          <w:bottom w:val="nil"/>
          <w:right w:val="nil"/>
          <w:between w:val="nil"/>
        </w:pBdr>
        <w:spacing w:line="252" w:lineRule="auto"/>
        <w:jc w:val="both"/>
      </w:pPr>
      <w:r>
        <w:rPr>
          <w:color w:val="000000"/>
        </w:rPr>
        <w:t>Design measurement frameworks for campaigns, retainers and pitches, including clear objectives, KPIs, data sources, tagging requirements, baselines and reporting cadence.</w:t>
      </w:r>
    </w:p>
    <w:p w14:paraId="059EA613" w14:textId="77777777" w:rsidR="00BA0730" w:rsidRDefault="00000000">
      <w:pPr>
        <w:numPr>
          <w:ilvl w:val="0"/>
          <w:numId w:val="1"/>
        </w:numPr>
        <w:pBdr>
          <w:top w:val="nil"/>
          <w:left w:val="nil"/>
          <w:bottom w:val="nil"/>
          <w:right w:val="nil"/>
          <w:between w:val="nil"/>
        </w:pBdr>
        <w:spacing w:line="252" w:lineRule="auto"/>
        <w:jc w:val="both"/>
      </w:pPr>
      <w:r>
        <w:rPr>
          <w:color w:val="000000"/>
        </w:rPr>
        <w:t xml:space="preserve">Collect, clean, validate and </w:t>
      </w:r>
      <w:proofErr w:type="spellStart"/>
      <w:r>
        <w:t>analyse</w:t>
      </w:r>
      <w:proofErr w:type="spellEnd"/>
      <w:r>
        <w:rPr>
          <w:color w:val="000000"/>
        </w:rPr>
        <w:t xml:space="preserve"> data from digital platforms, websites, social analytics, media reports, PR coverage, influencer reports, client datasets, CRM exports and internal performance records.</w:t>
      </w:r>
    </w:p>
    <w:p w14:paraId="3255E997" w14:textId="77777777" w:rsidR="00BA0730" w:rsidRDefault="00000000">
      <w:pPr>
        <w:numPr>
          <w:ilvl w:val="0"/>
          <w:numId w:val="1"/>
        </w:numPr>
        <w:pBdr>
          <w:top w:val="nil"/>
          <w:left w:val="nil"/>
          <w:bottom w:val="nil"/>
          <w:right w:val="nil"/>
          <w:between w:val="nil"/>
        </w:pBdr>
        <w:spacing w:line="252" w:lineRule="auto"/>
        <w:jc w:val="both"/>
      </w:pPr>
      <w:r>
        <w:rPr>
          <w:color w:val="000000"/>
        </w:rPr>
        <w:t>Build dashboards, campaign reports, monthly retainer reports, quarterly business reviews and post-campaign analyses that are accurate, visual, executive-ready and decision-useful.</w:t>
      </w:r>
    </w:p>
    <w:p w14:paraId="24EF12A9" w14:textId="77777777" w:rsidR="00BA0730" w:rsidRDefault="00000000">
      <w:pPr>
        <w:numPr>
          <w:ilvl w:val="0"/>
          <w:numId w:val="1"/>
        </w:numPr>
        <w:pBdr>
          <w:top w:val="nil"/>
          <w:left w:val="nil"/>
          <w:bottom w:val="nil"/>
          <w:right w:val="nil"/>
          <w:between w:val="nil"/>
        </w:pBdr>
        <w:spacing w:line="252" w:lineRule="auto"/>
        <w:jc w:val="both"/>
      </w:pPr>
      <w:r>
        <w:rPr>
          <w:color w:val="000000"/>
        </w:rPr>
        <w:t>Work with media, PR, digital, creative and client service teams to define what success means before campaigns go live and to ensure tracking requirements are in place early.</w:t>
      </w:r>
    </w:p>
    <w:p w14:paraId="02AB97D8" w14:textId="77777777" w:rsidR="00BA0730" w:rsidRDefault="00000000">
      <w:pPr>
        <w:numPr>
          <w:ilvl w:val="0"/>
          <w:numId w:val="1"/>
        </w:numPr>
        <w:pBdr>
          <w:top w:val="nil"/>
          <w:left w:val="nil"/>
          <w:bottom w:val="nil"/>
          <w:right w:val="nil"/>
          <w:between w:val="nil"/>
        </w:pBdr>
        <w:spacing w:line="252" w:lineRule="auto"/>
        <w:jc w:val="both"/>
      </w:pPr>
      <w:proofErr w:type="spellStart"/>
      <w:r>
        <w:t>Analyse</w:t>
      </w:r>
      <w:proofErr w:type="spellEnd"/>
      <w:r>
        <w:rPr>
          <w:color w:val="000000"/>
        </w:rPr>
        <w:t xml:space="preserve"> campaign performance, customer/audience </w:t>
      </w:r>
      <w:proofErr w:type="spellStart"/>
      <w:r>
        <w:t>behaviour</w:t>
      </w:r>
      <w:proofErr w:type="spellEnd"/>
      <w:r>
        <w:rPr>
          <w:color w:val="000000"/>
        </w:rPr>
        <w:t>, content performance, media efficiency, sentiment, share of voice, conversion funnels and competitor activity to generate actionable recommendations.</w:t>
      </w:r>
    </w:p>
    <w:p w14:paraId="0BECE0A9" w14:textId="77777777" w:rsidR="00BA0730" w:rsidRDefault="00000000">
      <w:pPr>
        <w:numPr>
          <w:ilvl w:val="0"/>
          <w:numId w:val="1"/>
        </w:numPr>
        <w:pBdr>
          <w:top w:val="nil"/>
          <w:left w:val="nil"/>
          <w:bottom w:val="nil"/>
          <w:right w:val="nil"/>
          <w:between w:val="nil"/>
        </w:pBdr>
        <w:spacing w:line="252" w:lineRule="auto"/>
        <w:jc w:val="both"/>
      </w:pPr>
      <w:r>
        <w:rPr>
          <w:color w:val="000000"/>
        </w:rPr>
        <w:t>Support proposal development with audience insights, category research, competitor benchmarking, performance benchmarks, market context and evidence-based recommendations.</w:t>
      </w:r>
    </w:p>
    <w:p w14:paraId="197366CD" w14:textId="77777777" w:rsidR="00BA0730" w:rsidRDefault="00000000">
      <w:pPr>
        <w:numPr>
          <w:ilvl w:val="0"/>
          <w:numId w:val="1"/>
        </w:numPr>
        <w:pBdr>
          <w:top w:val="nil"/>
          <w:left w:val="nil"/>
          <w:bottom w:val="nil"/>
          <w:right w:val="nil"/>
          <w:between w:val="nil"/>
        </w:pBdr>
        <w:spacing w:line="252" w:lineRule="auto"/>
        <w:jc w:val="both"/>
      </w:pPr>
      <w:r>
        <w:rPr>
          <w:color w:val="000000"/>
        </w:rPr>
        <w:t>Establish data quality checks, data dictionaries, reporting templates, UTM/tagging governance, dashboard standards and version control to reduce errors and inconsistencies.</w:t>
      </w:r>
    </w:p>
    <w:p w14:paraId="7B3B81CE" w14:textId="77777777" w:rsidR="00BA0730" w:rsidRDefault="00000000">
      <w:pPr>
        <w:numPr>
          <w:ilvl w:val="0"/>
          <w:numId w:val="1"/>
        </w:numPr>
        <w:pBdr>
          <w:top w:val="nil"/>
          <w:left w:val="nil"/>
          <w:bottom w:val="nil"/>
          <w:right w:val="nil"/>
          <w:between w:val="nil"/>
        </w:pBdr>
        <w:spacing w:line="252" w:lineRule="auto"/>
        <w:jc w:val="both"/>
      </w:pPr>
      <w:r>
        <w:rPr>
          <w:color w:val="000000"/>
        </w:rPr>
        <w:t>Use AI and automation responsibly to speed up data cleaning, pattern detection, reporting and analysis while independently validating conclusions before client use.</w:t>
      </w:r>
    </w:p>
    <w:p w14:paraId="34EFA766" w14:textId="77777777" w:rsidR="00BA0730" w:rsidRDefault="00000000">
      <w:pPr>
        <w:numPr>
          <w:ilvl w:val="0"/>
          <w:numId w:val="1"/>
        </w:numPr>
        <w:pBdr>
          <w:top w:val="nil"/>
          <w:left w:val="nil"/>
          <w:bottom w:val="nil"/>
          <w:right w:val="nil"/>
          <w:between w:val="nil"/>
        </w:pBdr>
        <w:spacing w:line="252" w:lineRule="auto"/>
        <w:jc w:val="both"/>
      </w:pPr>
      <w:r>
        <w:rPr>
          <w:color w:val="000000"/>
        </w:rPr>
        <w:t>Train and support teams on data interpretation, reporting discipline, dashboard use and the difference between activity metrics and business outcomes.</w:t>
      </w:r>
    </w:p>
    <w:p w14:paraId="68F5B0F8" w14:textId="77777777" w:rsidR="00BA0730" w:rsidRDefault="00000000">
      <w:pPr>
        <w:numPr>
          <w:ilvl w:val="0"/>
          <w:numId w:val="1"/>
        </w:numPr>
        <w:pBdr>
          <w:top w:val="nil"/>
          <w:left w:val="nil"/>
          <w:bottom w:val="nil"/>
          <w:right w:val="nil"/>
          <w:between w:val="nil"/>
        </w:pBdr>
        <w:spacing w:after="40" w:line="252" w:lineRule="auto"/>
        <w:jc w:val="both"/>
      </w:pPr>
      <w:r>
        <w:rPr>
          <w:color w:val="000000"/>
        </w:rPr>
        <w:t>Maintain confidentiality, ethical data handling, source documentation and clear assumptions in all analyses and client-facing outputs.</w:t>
      </w:r>
    </w:p>
    <w:p w14:paraId="34930DC9" w14:textId="77777777" w:rsidR="00BA0730" w:rsidRDefault="00000000">
      <w:pPr>
        <w:pStyle w:val="Heading2"/>
        <w:spacing w:before="80" w:after="80"/>
        <w:rPr>
          <w:sz w:val="22"/>
          <w:szCs w:val="22"/>
        </w:rPr>
      </w:pPr>
      <w:bookmarkStart w:id="3" w:name="_heading=h.l5bhractnyfv" w:colFirst="0" w:colLast="0"/>
      <w:bookmarkEnd w:id="3"/>
      <w:r>
        <w:rPr>
          <w:b/>
          <w:bCs/>
          <w:color w:val="005F82"/>
          <w:sz w:val="22"/>
          <w:szCs w:val="22"/>
        </w:rPr>
        <w:lastRenderedPageBreak/>
        <w:t>KPIs</w:t>
      </w:r>
    </w:p>
    <w:tbl>
      <w:tblPr>
        <w:tblStyle w:val="a6"/>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216"/>
        <w:gridCol w:w="2781"/>
        <w:gridCol w:w="3442"/>
        <w:gridCol w:w="911"/>
      </w:tblGrid>
      <w:tr w:rsidR="00BA0730" w14:paraId="01CD77FE" w14:textId="77777777">
        <w:trPr>
          <w:tblHeader/>
          <w:jc w:val="center"/>
        </w:trPr>
        <w:tc>
          <w:tcPr>
            <w:tcW w:w="2216" w:type="dxa"/>
            <w:shd w:val="clear" w:color="auto" w:fill="005F82"/>
            <w:vAlign w:val="center"/>
          </w:tcPr>
          <w:p w14:paraId="08849CE2" w14:textId="77777777" w:rsidR="00BA0730" w:rsidRDefault="00000000">
            <w:pPr>
              <w:jc w:val="center"/>
              <w:rPr>
                <w:rFonts w:ascii="Arial" w:eastAsia="Arial" w:hAnsi="Arial" w:cs="Arial"/>
              </w:rPr>
            </w:pPr>
            <w:r>
              <w:rPr>
                <w:rFonts w:ascii="Arial" w:eastAsia="Arial" w:hAnsi="Arial" w:cs="Arial"/>
                <w:b/>
                <w:bCs/>
                <w:color w:val="FFFFFF"/>
              </w:rPr>
              <w:t>KPI</w:t>
            </w:r>
          </w:p>
        </w:tc>
        <w:tc>
          <w:tcPr>
            <w:tcW w:w="2781" w:type="dxa"/>
            <w:shd w:val="clear" w:color="auto" w:fill="005F82"/>
            <w:vAlign w:val="center"/>
          </w:tcPr>
          <w:p w14:paraId="62833ACE" w14:textId="77777777" w:rsidR="00BA0730" w:rsidRDefault="00000000">
            <w:pPr>
              <w:jc w:val="center"/>
              <w:rPr>
                <w:rFonts w:ascii="Arial" w:eastAsia="Arial" w:hAnsi="Arial" w:cs="Arial"/>
              </w:rPr>
            </w:pPr>
            <w:r>
              <w:rPr>
                <w:rFonts w:ascii="Arial" w:eastAsia="Arial" w:hAnsi="Arial" w:cs="Arial"/>
                <w:b/>
                <w:bCs/>
                <w:color w:val="FFFFFF"/>
              </w:rPr>
              <w:t>What to Measure</w:t>
            </w:r>
          </w:p>
        </w:tc>
        <w:tc>
          <w:tcPr>
            <w:tcW w:w="3442" w:type="dxa"/>
            <w:shd w:val="clear" w:color="auto" w:fill="005F82"/>
            <w:vAlign w:val="center"/>
          </w:tcPr>
          <w:p w14:paraId="5F73CD39" w14:textId="77777777" w:rsidR="00BA0730" w:rsidRDefault="00000000">
            <w:pPr>
              <w:jc w:val="center"/>
              <w:rPr>
                <w:rFonts w:ascii="Arial" w:eastAsia="Arial" w:hAnsi="Arial" w:cs="Arial"/>
              </w:rPr>
            </w:pPr>
            <w:r>
              <w:rPr>
                <w:rFonts w:ascii="Arial" w:eastAsia="Arial" w:hAnsi="Arial" w:cs="Arial"/>
                <w:b/>
                <w:bCs/>
                <w:color w:val="FFFFFF"/>
              </w:rPr>
              <w:t>How to Measure</w:t>
            </w:r>
          </w:p>
        </w:tc>
        <w:tc>
          <w:tcPr>
            <w:tcW w:w="911" w:type="dxa"/>
            <w:shd w:val="clear" w:color="auto" w:fill="005F82"/>
            <w:vAlign w:val="center"/>
          </w:tcPr>
          <w:p w14:paraId="7894DC1F" w14:textId="77777777" w:rsidR="00BA0730" w:rsidRDefault="00000000">
            <w:pPr>
              <w:jc w:val="center"/>
              <w:rPr>
                <w:rFonts w:ascii="Arial" w:eastAsia="Arial" w:hAnsi="Arial" w:cs="Arial"/>
              </w:rPr>
            </w:pPr>
            <w:r>
              <w:rPr>
                <w:rFonts w:ascii="Arial" w:eastAsia="Arial" w:hAnsi="Arial" w:cs="Arial"/>
                <w:b/>
                <w:bCs/>
                <w:color w:val="FFFFFF"/>
              </w:rPr>
              <w:t>Weight</w:t>
            </w:r>
          </w:p>
        </w:tc>
      </w:tr>
      <w:tr w:rsidR="00BA0730" w14:paraId="32A1FBDD" w14:textId="77777777">
        <w:trPr>
          <w:jc w:val="center"/>
        </w:trPr>
        <w:tc>
          <w:tcPr>
            <w:tcW w:w="2216" w:type="dxa"/>
          </w:tcPr>
          <w:p w14:paraId="4280FFF3" w14:textId="77777777" w:rsidR="00BA0730" w:rsidRDefault="00000000">
            <w:pPr>
              <w:rPr>
                <w:rFonts w:ascii="Arial" w:eastAsia="Arial" w:hAnsi="Arial" w:cs="Arial"/>
              </w:rPr>
            </w:pPr>
            <w:r>
              <w:rPr>
                <w:rFonts w:ascii="Arial" w:eastAsia="Arial" w:hAnsi="Arial" w:cs="Arial"/>
              </w:rPr>
              <w:t>Reporting and dashboard SLA compliance</w:t>
            </w:r>
          </w:p>
        </w:tc>
        <w:tc>
          <w:tcPr>
            <w:tcW w:w="2781" w:type="dxa"/>
          </w:tcPr>
          <w:p w14:paraId="69E7DB5A" w14:textId="77777777" w:rsidR="00BA0730" w:rsidRDefault="00000000">
            <w:pPr>
              <w:rPr>
                <w:rFonts w:ascii="Arial" w:eastAsia="Arial" w:hAnsi="Arial" w:cs="Arial"/>
              </w:rPr>
            </w:pPr>
            <w:r>
              <w:rPr>
                <w:rFonts w:ascii="Arial" w:eastAsia="Arial" w:hAnsi="Arial" w:cs="Arial"/>
              </w:rPr>
              <w:t>Timely delivery of agreed dashboards, monthly reports, campaign reports, post-campaign analyses and quarterly review packs.</w:t>
            </w:r>
          </w:p>
        </w:tc>
        <w:tc>
          <w:tcPr>
            <w:tcW w:w="3442" w:type="dxa"/>
          </w:tcPr>
          <w:p w14:paraId="7ED706E0" w14:textId="77777777" w:rsidR="00BA0730" w:rsidRDefault="00000000">
            <w:pPr>
              <w:rPr>
                <w:rFonts w:ascii="Arial" w:eastAsia="Arial" w:hAnsi="Arial" w:cs="Arial"/>
              </w:rPr>
            </w:pPr>
            <w:r>
              <w:rPr>
                <w:rFonts w:ascii="Arial" w:eastAsia="Arial" w:hAnsi="Arial" w:cs="Arial"/>
              </w:rPr>
              <w:t>Reporting calendar, SLA tracker, status sheets and client/BU Head review notes.</w:t>
            </w:r>
          </w:p>
        </w:tc>
        <w:tc>
          <w:tcPr>
            <w:tcW w:w="911" w:type="dxa"/>
          </w:tcPr>
          <w:p w14:paraId="1A2FB0E5" w14:textId="77777777" w:rsidR="00BA0730" w:rsidRDefault="00000000">
            <w:pPr>
              <w:jc w:val="center"/>
              <w:rPr>
                <w:rFonts w:ascii="Arial" w:eastAsia="Arial" w:hAnsi="Arial" w:cs="Arial"/>
              </w:rPr>
            </w:pPr>
            <w:r>
              <w:rPr>
                <w:rFonts w:ascii="Arial" w:eastAsia="Arial" w:hAnsi="Arial" w:cs="Arial"/>
              </w:rPr>
              <w:t>15%</w:t>
            </w:r>
          </w:p>
        </w:tc>
      </w:tr>
      <w:tr w:rsidR="00BA0730" w14:paraId="0A8C2256" w14:textId="77777777">
        <w:trPr>
          <w:jc w:val="center"/>
        </w:trPr>
        <w:tc>
          <w:tcPr>
            <w:tcW w:w="2216" w:type="dxa"/>
          </w:tcPr>
          <w:p w14:paraId="0B480962" w14:textId="77777777" w:rsidR="00BA0730" w:rsidRDefault="00000000">
            <w:pPr>
              <w:rPr>
                <w:rFonts w:ascii="Arial" w:eastAsia="Arial" w:hAnsi="Arial" w:cs="Arial"/>
              </w:rPr>
            </w:pPr>
            <w:r>
              <w:rPr>
                <w:rFonts w:ascii="Arial" w:eastAsia="Arial" w:hAnsi="Arial" w:cs="Arial"/>
              </w:rPr>
              <w:t>Data quality and governance</w:t>
            </w:r>
          </w:p>
        </w:tc>
        <w:tc>
          <w:tcPr>
            <w:tcW w:w="2781" w:type="dxa"/>
          </w:tcPr>
          <w:p w14:paraId="659C9BA3" w14:textId="77777777" w:rsidR="00BA0730" w:rsidRDefault="00000000">
            <w:pPr>
              <w:rPr>
                <w:rFonts w:ascii="Arial" w:eastAsia="Arial" w:hAnsi="Arial" w:cs="Arial"/>
              </w:rPr>
            </w:pPr>
            <w:r>
              <w:rPr>
                <w:rFonts w:ascii="Arial" w:eastAsia="Arial" w:hAnsi="Arial" w:cs="Arial"/>
              </w:rPr>
              <w:t>Accuracy, completeness, consistency, traceability and reliability of datasets, dashboards, assumptions and reporting templates.</w:t>
            </w:r>
          </w:p>
        </w:tc>
        <w:tc>
          <w:tcPr>
            <w:tcW w:w="3442" w:type="dxa"/>
          </w:tcPr>
          <w:p w14:paraId="440BAE68" w14:textId="77777777" w:rsidR="00BA0730" w:rsidRDefault="00000000">
            <w:pPr>
              <w:rPr>
                <w:rFonts w:ascii="Arial" w:eastAsia="Arial" w:hAnsi="Arial" w:cs="Arial"/>
              </w:rPr>
            </w:pPr>
            <w:r>
              <w:rPr>
                <w:rFonts w:ascii="Arial" w:eastAsia="Arial" w:hAnsi="Arial" w:cs="Arial"/>
              </w:rPr>
              <w:t>QA checklist, data validation log, error rate, correction log, source documentation and version control audit.</w:t>
            </w:r>
          </w:p>
        </w:tc>
        <w:tc>
          <w:tcPr>
            <w:tcW w:w="911" w:type="dxa"/>
          </w:tcPr>
          <w:p w14:paraId="0F2E9EBB" w14:textId="77777777" w:rsidR="00BA0730" w:rsidRDefault="00000000">
            <w:pPr>
              <w:jc w:val="center"/>
              <w:rPr>
                <w:rFonts w:ascii="Arial" w:eastAsia="Arial" w:hAnsi="Arial" w:cs="Arial"/>
              </w:rPr>
            </w:pPr>
            <w:r>
              <w:rPr>
                <w:rFonts w:ascii="Arial" w:eastAsia="Arial" w:hAnsi="Arial" w:cs="Arial"/>
              </w:rPr>
              <w:t>20%</w:t>
            </w:r>
          </w:p>
        </w:tc>
      </w:tr>
      <w:tr w:rsidR="00BA0730" w14:paraId="12185691" w14:textId="77777777">
        <w:trPr>
          <w:jc w:val="center"/>
        </w:trPr>
        <w:tc>
          <w:tcPr>
            <w:tcW w:w="2216" w:type="dxa"/>
          </w:tcPr>
          <w:p w14:paraId="3D0DEBC6" w14:textId="77777777" w:rsidR="00BA0730" w:rsidRDefault="00000000">
            <w:pPr>
              <w:rPr>
                <w:rFonts w:ascii="Arial" w:eastAsia="Arial" w:hAnsi="Arial" w:cs="Arial"/>
              </w:rPr>
            </w:pPr>
            <w:r>
              <w:rPr>
                <w:rFonts w:ascii="Arial" w:eastAsia="Arial" w:hAnsi="Arial" w:cs="Arial"/>
              </w:rPr>
              <w:t>Insight quality and optimization impact</w:t>
            </w:r>
          </w:p>
        </w:tc>
        <w:tc>
          <w:tcPr>
            <w:tcW w:w="2781" w:type="dxa"/>
          </w:tcPr>
          <w:p w14:paraId="5A1ADD0D" w14:textId="77777777" w:rsidR="00BA0730" w:rsidRDefault="00000000">
            <w:pPr>
              <w:rPr>
                <w:rFonts w:ascii="Arial" w:eastAsia="Arial" w:hAnsi="Arial" w:cs="Arial"/>
              </w:rPr>
            </w:pPr>
            <w:r>
              <w:rPr>
                <w:rFonts w:ascii="Arial" w:eastAsia="Arial" w:hAnsi="Arial" w:cs="Arial"/>
              </w:rPr>
              <w:t>Ability to convert data into useful insights that improve campaigns, creative decisions, media allocation and client advisory.</w:t>
            </w:r>
          </w:p>
        </w:tc>
        <w:tc>
          <w:tcPr>
            <w:tcW w:w="3442" w:type="dxa"/>
          </w:tcPr>
          <w:p w14:paraId="539F188F" w14:textId="77777777" w:rsidR="00BA0730" w:rsidRDefault="00000000">
            <w:pPr>
              <w:rPr>
                <w:rFonts w:ascii="Arial" w:eastAsia="Arial" w:hAnsi="Arial" w:cs="Arial"/>
              </w:rPr>
            </w:pPr>
            <w:r>
              <w:rPr>
                <w:rFonts w:ascii="Arial" w:eastAsia="Arial" w:hAnsi="Arial" w:cs="Arial"/>
              </w:rPr>
              <w:t>Number and quality of actionable recommendations, optimization actions taken, performance improvements and post-campaign learning notes.</w:t>
            </w:r>
          </w:p>
        </w:tc>
        <w:tc>
          <w:tcPr>
            <w:tcW w:w="911" w:type="dxa"/>
          </w:tcPr>
          <w:p w14:paraId="197E01D0" w14:textId="77777777" w:rsidR="00BA0730" w:rsidRDefault="00000000">
            <w:pPr>
              <w:jc w:val="center"/>
              <w:rPr>
                <w:rFonts w:ascii="Arial" w:eastAsia="Arial" w:hAnsi="Arial" w:cs="Arial"/>
              </w:rPr>
            </w:pPr>
            <w:r>
              <w:rPr>
                <w:rFonts w:ascii="Arial" w:eastAsia="Arial" w:hAnsi="Arial" w:cs="Arial"/>
              </w:rPr>
              <w:t>20%</w:t>
            </w:r>
          </w:p>
        </w:tc>
      </w:tr>
      <w:tr w:rsidR="00BA0730" w14:paraId="60176724" w14:textId="77777777">
        <w:trPr>
          <w:jc w:val="center"/>
        </w:trPr>
        <w:tc>
          <w:tcPr>
            <w:tcW w:w="2216" w:type="dxa"/>
          </w:tcPr>
          <w:p w14:paraId="4ABDAF86" w14:textId="77777777" w:rsidR="00BA0730" w:rsidRDefault="00000000">
            <w:pPr>
              <w:rPr>
                <w:rFonts w:ascii="Arial" w:eastAsia="Arial" w:hAnsi="Arial" w:cs="Arial"/>
              </w:rPr>
            </w:pPr>
            <w:r>
              <w:rPr>
                <w:rFonts w:ascii="Arial" w:eastAsia="Arial" w:hAnsi="Arial" w:cs="Arial"/>
              </w:rPr>
              <w:t>Client results and business value</w:t>
            </w:r>
          </w:p>
        </w:tc>
        <w:tc>
          <w:tcPr>
            <w:tcW w:w="2781" w:type="dxa"/>
          </w:tcPr>
          <w:p w14:paraId="6A038005" w14:textId="77777777" w:rsidR="00BA0730" w:rsidRDefault="00000000">
            <w:pPr>
              <w:rPr>
                <w:rFonts w:ascii="Arial" w:eastAsia="Arial" w:hAnsi="Arial" w:cs="Arial"/>
              </w:rPr>
            </w:pPr>
            <w:r>
              <w:rPr>
                <w:rFonts w:ascii="Arial" w:eastAsia="Arial" w:hAnsi="Arial" w:cs="Arial"/>
              </w:rPr>
              <w:t>Contribution to client retention, retainer growth, campaign effectiveness, credibility of reporting and evidence-based business decisions.</w:t>
            </w:r>
          </w:p>
        </w:tc>
        <w:tc>
          <w:tcPr>
            <w:tcW w:w="3442" w:type="dxa"/>
          </w:tcPr>
          <w:p w14:paraId="23531F94" w14:textId="77777777" w:rsidR="00BA0730" w:rsidRDefault="00000000">
            <w:pPr>
              <w:rPr>
                <w:rFonts w:ascii="Arial" w:eastAsia="Arial" w:hAnsi="Arial" w:cs="Arial"/>
              </w:rPr>
            </w:pPr>
            <w:r>
              <w:rPr>
                <w:rFonts w:ascii="Arial" w:eastAsia="Arial" w:hAnsi="Arial" w:cs="Arial"/>
              </w:rPr>
              <w:t>Client feedback, retained accounts supported, QBR inputs, management feedback and documented value-add insights.</w:t>
            </w:r>
          </w:p>
        </w:tc>
        <w:tc>
          <w:tcPr>
            <w:tcW w:w="911" w:type="dxa"/>
          </w:tcPr>
          <w:p w14:paraId="46EF297C" w14:textId="77777777" w:rsidR="00BA0730" w:rsidRDefault="00000000">
            <w:pPr>
              <w:jc w:val="center"/>
              <w:rPr>
                <w:rFonts w:ascii="Arial" w:eastAsia="Arial" w:hAnsi="Arial" w:cs="Arial"/>
              </w:rPr>
            </w:pPr>
            <w:r>
              <w:rPr>
                <w:rFonts w:ascii="Arial" w:eastAsia="Arial" w:hAnsi="Arial" w:cs="Arial"/>
              </w:rPr>
              <w:t>15%</w:t>
            </w:r>
          </w:p>
        </w:tc>
      </w:tr>
      <w:tr w:rsidR="00BA0730" w14:paraId="270F50E5" w14:textId="77777777">
        <w:trPr>
          <w:jc w:val="center"/>
        </w:trPr>
        <w:tc>
          <w:tcPr>
            <w:tcW w:w="2216" w:type="dxa"/>
          </w:tcPr>
          <w:p w14:paraId="7CDCBBE6" w14:textId="77777777" w:rsidR="00BA0730" w:rsidRDefault="00000000">
            <w:pPr>
              <w:rPr>
                <w:rFonts w:ascii="Arial" w:eastAsia="Arial" w:hAnsi="Arial" w:cs="Arial"/>
              </w:rPr>
            </w:pPr>
            <w:r>
              <w:rPr>
                <w:rFonts w:ascii="Arial" w:eastAsia="Arial" w:hAnsi="Arial" w:cs="Arial"/>
              </w:rPr>
              <w:t>Research and pitch support</w:t>
            </w:r>
          </w:p>
        </w:tc>
        <w:tc>
          <w:tcPr>
            <w:tcW w:w="2781" w:type="dxa"/>
          </w:tcPr>
          <w:p w14:paraId="3B214F01" w14:textId="77777777" w:rsidR="00BA0730" w:rsidRDefault="00000000">
            <w:pPr>
              <w:rPr>
                <w:rFonts w:ascii="Arial" w:eastAsia="Arial" w:hAnsi="Arial" w:cs="Arial"/>
              </w:rPr>
            </w:pPr>
            <w:r>
              <w:rPr>
                <w:rFonts w:ascii="Arial" w:eastAsia="Arial" w:hAnsi="Arial" w:cs="Arial"/>
              </w:rPr>
              <w:t>Quality and usefulness of research, benchmarks, category analysis, audience insights and performance assumptions used in proposals and strategy.</w:t>
            </w:r>
          </w:p>
        </w:tc>
        <w:tc>
          <w:tcPr>
            <w:tcW w:w="3442" w:type="dxa"/>
          </w:tcPr>
          <w:p w14:paraId="07E0BB4C" w14:textId="77777777" w:rsidR="00BA0730" w:rsidRDefault="00000000">
            <w:pPr>
              <w:rPr>
                <w:rFonts w:ascii="Arial" w:eastAsia="Arial" w:hAnsi="Arial" w:cs="Arial"/>
              </w:rPr>
            </w:pPr>
            <w:r>
              <w:rPr>
                <w:rFonts w:ascii="Arial" w:eastAsia="Arial" w:hAnsi="Arial" w:cs="Arial"/>
              </w:rPr>
              <w:t>Proposal support tracker, pitch acceptance feedback, research QA and use of insights in approved strategies.</w:t>
            </w:r>
          </w:p>
        </w:tc>
        <w:tc>
          <w:tcPr>
            <w:tcW w:w="911" w:type="dxa"/>
          </w:tcPr>
          <w:p w14:paraId="537E1598" w14:textId="77777777" w:rsidR="00BA0730" w:rsidRDefault="00000000">
            <w:pPr>
              <w:jc w:val="center"/>
              <w:rPr>
                <w:rFonts w:ascii="Arial" w:eastAsia="Arial" w:hAnsi="Arial" w:cs="Arial"/>
              </w:rPr>
            </w:pPr>
            <w:r>
              <w:rPr>
                <w:rFonts w:ascii="Arial" w:eastAsia="Arial" w:hAnsi="Arial" w:cs="Arial"/>
              </w:rPr>
              <w:t>10%</w:t>
            </w:r>
          </w:p>
        </w:tc>
      </w:tr>
      <w:tr w:rsidR="00BA0730" w14:paraId="6F48E05D" w14:textId="77777777">
        <w:trPr>
          <w:jc w:val="center"/>
        </w:trPr>
        <w:tc>
          <w:tcPr>
            <w:tcW w:w="2216" w:type="dxa"/>
          </w:tcPr>
          <w:p w14:paraId="119F3185" w14:textId="77777777" w:rsidR="00BA0730" w:rsidRDefault="00000000">
            <w:pPr>
              <w:rPr>
                <w:rFonts w:ascii="Arial" w:eastAsia="Arial" w:hAnsi="Arial" w:cs="Arial"/>
              </w:rPr>
            </w:pPr>
            <w:r>
              <w:rPr>
                <w:rFonts w:ascii="Arial" w:eastAsia="Arial" w:hAnsi="Arial" w:cs="Arial"/>
              </w:rPr>
              <w:t>Automation, AI and system improvement</w:t>
            </w:r>
          </w:p>
        </w:tc>
        <w:tc>
          <w:tcPr>
            <w:tcW w:w="2781" w:type="dxa"/>
          </w:tcPr>
          <w:p w14:paraId="233B6401" w14:textId="77777777" w:rsidR="00BA0730" w:rsidRDefault="00000000">
            <w:pPr>
              <w:rPr>
                <w:rFonts w:ascii="Arial" w:eastAsia="Arial" w:hAnsi="Arial" w:cs="Arial"/>
              </w:rPr>
            </w:pPr>
            <w:r>
              <w:rPr>
                <w:rFonts w:ascii="Arial" w:eastAsia="Arial" w:hAnsi="Arial" w:cs="Arial"/>
              </w:rPr>
              <w:t>Improvement of reporting efficiency, dashboard automation, reusable templates, data workflows and responsible AI adoption.</w:t>
            </w:r>
          </w:p>
        </w:tc>
        <w:tc>
          <w:tcPr>
            <w:tcW w:w="3442" w:type="dxa"/>
          </w:tcPr>
          <w:p w14:paraId="3878460B" w14:textId="77777777" w:rsidR="00BA0730" w:rsidRDefault="00000000">
            <w:pPr>
              <w:rPr>
                <w:rFonts w:ascii="Arial" w:eastAsia="Arial" w:hAnsi="Arial" w:cs="Arial"/>
              </w:rPr>
            </w:pPr>
            <w:r>
              <w:rPr>
                <w:rFonts w:ascii="Arial" w:eastAsia="Arial" w:hAnsi="Arial" w:cs="Arial"/>
              </w:rPr>
              <w:t>Time saved, reusable assets created, automated reports, adoption by teams and documented SOPs.</w:t>
            </w:r>
          </w:p>
        </w:tc>
        <w:tc>
          <w:tcPr>
            <w:tcW w:w="911" w:type="dxa"/>
          </w:tcPr>
          <w:p w14:paraId="7923D900" w14:textId="77777777" w:rsidR="00BA0730" w:rsidRDefault="00000000">
            <w:pPr>
              <w:jc w:val="center"/>
              <w:rPr>
                <w:rFonts w:ascii="Arial" w:eastAsia="Arial" w:hAnsi="Arial" w:cs="Arial"/>
              </w:rPr>
            </w:pPr>
            <w:r>
              <w:rPr>
                <w:rFonts w:ascii="Arial" w:eastAsia="Arial" w:hAnsi="Arial" w:cs="Arial"/>
              </w:rPr>
              <w:t>10%</w:t>
            </w:r>
          </w:p>
        </w:tc>
      </w:tr>
      <w:tr w:rsidR="00BA0730" w14:paraId="2484C77C" w14:textId="77777777">
        <w:trPr>
          <w:jc w:val="center"/>
        </w:trPr>
        <w:tc>
          <w:tcPr>
            <w:tcW w:w="2216" w:type="dxa"/>
          </w:tcPr>
          <w:p w14:paraId="59D44A4B" w14:textId="77777777" w:rsidR="00BA0730" w:rsidRDefault="00000000">
            <w:pPr>
              <w:rPr>
                <w:rFonts w:ascii="Arial" w:eastAsia="Arial" w:hAnsi="Arial" w:cs="Arial"/>
              </w:rPr>
            </w:pPr>
            <w:r>
              <w:rPr>
                <w:rFonts w:ascii="Arial" w:eastAsia="Arial" w:hAnsi="Arial" w:cs="Arial"/>
              </w:rPr>
              <w:t>Collaboration, training and process compliance</w:t>
            </w:r>
          </w:p>
        </w:tc>
        <w:tc>
          <w:tcPr>
            <w:tcW w:w="2781" w:type="dxa"/>
          </w:tcPr>
          <w:p w14:paraId="4032F87C" w14:textId="77777777" w:rsidR="00BA0730" w:rsidRDefault="00000000">
            <w:pPr>
              <w:rPr>
                <w:rFonts w:ascii="Arial" w:eastAsia="Arial" w:hAnsi="Arial" w:cs="Arial"/>
              </w:rPr>
            </w:pPr>
            <w:r>
              <w:rPr>
                <w:rFonts w:ascii="Arial" w:eastAsia="Arial" w:hAnsi="Arial" w:cs="Arial"/>
              </w:rPr>
              <w:t xml:space="preserve">Support to teams in interpreting data, following measurement standards, using </w:t>
            </w:r>
            <w:r>
              <w:rPr>
                <w:rFonts w:ascii="Arial" w:eastAsia="Arial" w:hAnsi="Arial" w:cs="Arial"/>
              </w:rPr>
              <w:lastRenderedPageBreak/>
              <w:t>dashboards and complying with approved workflows.</w:t>
            </w:r>
          </w:p>
        </w:tc>
        <w:tc>
          <w:tcPr>
            <w:tcW w:w="3442" w:type="dxa"/>
          </w:tcPr>
          <w:p w14:paraId="7E7393B2" w14:textId="77777777" w:rsidR="00BA0730" w:rsidRDefault="00000000">
            <w:pPr>
              <w:rPr>
                <w:rFonts w:ascii="Arial" w:eastAsia="Arial" w:hAnsi="Arial" w:cs="Arial"/>
              </w:rPr>
            </w:pPr>
            <w:r>
              <w:rPr>
                <w:rFonts w:ascii="Arial" w:eastAsia="Arial" w:hAnsi="Arial" w:cs="Arial"/>
              </w:rPr>
              <w:lastRenderedPageBreak/>
              <w:t>Training logs, peer feedback, internal SLA compliance, issue logs and adherence to reporting SOPs.</w:t>
            </w:r>
          </w:p>
        </w:tc>
        <w:tc>
          <w:tcPr>
            <w:tcW w:w="911" w:type="dxa"/>
          </w:tcPr>
          <w:p w14:paraId="32F60E06" w14:textId="77777777" w:rsidR="00BA0730" w:rsidRDefault="00000000">
            <w:pPr>
              <w:jc w:val="center"/>
              <w:rPr>
                <w:rFonts w:ascii="Arial" w:eastAsia="Arial" w:hAnsi="Arial" w:cs="Arial"/>
              </w:rPr>
            </w:pPr>
            <w:r>
              <w:rPr>
                <w:rFonts w:ascii="Arial" w:eastAsia="Arial" w:hAnsi="Arial" w:cs="Arial"/>
              </w:rPr>
              <w:t>10%</w:t>
            </w:r>
          </w:p>
        </w:tc>
      </w:tr>
    </w:tbl>
    <w:p w14:paraId="14E5A895" w14:textId="77777777" w:rsidR="00BA0730" w:rsidRDefault="00BA0730">
      <w:pPr>
        <w:spacing w:after="40" w:line="259" w:lineRule="auto"/>
        <w:jc w:val="both"/>
      </w:pPr>
    </w:p>
    <w:p w14:paraId="49810903" w14:textId="77777777" w:rsidR="00BA0730" w:rsidRDefault="00000000">
      <w:pPr>
        <w:pStyle w:val="Heading2"/>
        <w:spacing w:before="80" w:after="80"/>
        <w:rPr>
          <w:sz w:val="22"/>
          <w:szCs w:val="22"/>
        </w:rPr>
      </w:pPr>
      <w:bookmarkStart w:id="4" w:name="_heading=h.rno0w5okprq2" w:colFirst="0" w:colLast="0"/>
      <w:bookmarkEnd w:id="4"/>
      <w:r>
        <w:rPr>
          <w:b/>
          <w:bCs/>
          <w:color w:val="005F82"/>
          <w:sz w:val="22"/>
          <w:szCs w:val="22"/>
        </w:rPr>
        <w:t>Skills, Competencies and Qualifications</w:t>
      </w:r>
    </w:p>
    <w:tbl>
      <w:tblPr>
        <w:tblStyle w:val="a7"/>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142"/>
        <w:gridCol w:w="7208"/>
      </w:tblGrid>
      <w:tr w:rsidR="00BA0730" w14:paraId="18690FDD" w14:textId="77777777">
        <w:trPr>
          <w:tblHeader/>
          <w:jc w:val="center"/>
        </w:trPr>
        <w:tc>
          <w:tcPr>
            <w:tcW w:w="2142" w:type="dxa"/>
            <w:shd w:val="clear" w:color="auto" w:fill="005F82"/>
            <w:vAlign w:val="center"/>
          </w:tcPr>
          <w:p w14:paraId="76438A5C" w14:textId="77777777" w:rsidR="00BA0730" w:rsidRDefault="00000000">
            <w:pPr>
              <w:jc w:val="center"/>
              <w:rPr>
                <w:rFonts w:ascii="Arial" w:eastAsia="Arial" w:hAnsi="Arial" w:cs="Arial"/>
              </w:rPr>
            </w:pPr>
            <w:r>
              <w:rPr>
                <w:rFonts w:ascii="Arial" w:eastAsia="Arial" w:hAnsi="Arial" w:cs="Arial"/>
                <w:b/>
                <w:bCs/>
                <w:color w:val="FFFFFF"/>
              </w:rPr>
              <w:t>Area</w:t>
            </w:r>
          </w:p>
        </w:tc>
        <w:tc>
          <w:tcPr>
            <w:tcW w:w="7208" w:type="dxa"/>
            <w:shd w:val="clear" w:color="auto" w:fill="005F82"/>
            <w:vAlign w:val="center"/>
          </w:tcPr>
          <w:p w14:paraId="181FD633" w14:textId="77777777" w:rsidR="00BA0730" w:rsidRDefault="00000000">
            <w:pPr>
              <w:jc w:val="center"/>
              <w:rPr>
                <w:rFonts w:ascii="Arial" w:eastAsia="Arial" w:hAnsi="Arial" w:cs="Arial"/>
              </w:rPr>
            </w:pPr>
            <w:r>
              <w:rPr>
                <w:rFonts w:ascii="Arial" w:eastAsia="Arial" w:hAnsi="Arial" w:cs="Arial"/>
                <w:b/>
                <w:bCs/>
                <w:color w:val="FFFFFF"/>
              </w:rPr>
              <w:t>Requirement</w:t>
            </w:r>
          </w:p>
        </w:tc>
      </w:tr>
      <w:tr w:rsidR="00BA0730" w14:paraId="09CCC0FF" w14:textId="77777777">
        <w:trPr>
          <w:jc w:val="center"/>
        </w:trPr>
        <w:tc>
          <w:tcPr>
            <w:tcW w:w="2142" w:type="dxa"/>
          </w:tcPr>
          <w:p w14:paraId="119240A5" w14:textId="77777777" w:rsidR="00BA0730" w:rsidRDefault="00000000">
            <w:pPr>
              <w:rPr>
                <w:rFonts w:ascii="Arial" w:eastAsia="Arial" w:hAnsi="Arial" w:cs="Arial"/>
              </w:rPr>
            </w:pPr>
            <w:r>
              <w:rPr>
                <w:rFonts w:ascii="Arial" w:eastAsia="Arial" w:hAnsi="Arial" w:cs="Arial"/>
              </w:rPr>
              <w:t>Education and experience</w:t>
            </w:r>
          </w:p>
        </w:tc>
        <w:tc>
          <w:tcPr>
            <w:tcW w:w="7208" w:type="dxa"/>
          </w:tcPr>
          <w:p w14:paraId="32C6A5A0" w14:textId="77777777" w:rsidR="00BA0730" w:rsidRDefault="00000000">
            <w:pPr>
              <w:rPr>
                <w:rFonts w:ascii="Arial" w:eastAsia="Arial" w:hAnsi="Arial" w:cs="Arial"/>
              </w:rPr>
            </w:pPr>
            <w:r>
              <w:rPr>
                <w:rFonts w:ascii="Arial" w:eastAsia="Arial" w:hAnsi="Arial" w:cs="Arial"/>
              </w:rPr>
              <w:t>Degree or diploma in Data Science/Analytics, Statistics, Business Analytics, Marketing, Economics, Computer Science, Finance or a related field. Recommended 3+ years' analytics/reporting experience, preferably in marketing, media, agency or client advisory environments.</w:t>
            </w:r>
          </w:p>
        </w:tc>
      </w:tr>
      <w:tr w:rsidR="00BA0730" w14:paraId="3DD671AE" w14:textId="77777777">
        <w:trPr>
          <w:jc w:val="center"/>
        </w:trPr>
        <w:tc>
          <w:tcPr>
            <w:tcW w:w="2142" w:type="dxa"/>
          </w:tcPr>
          <w:p w14:paraId="0F14B043" w14:textId="77777777" w:rsidR="00BA0730" w:rsidRDefault="00000000">
            <w:pPr>
              <w:rPr>
                <w:rFonts w:ascii="Arial" w:eastAsia="Arial" w:hAnsi="Arial" w:cs="Arial"/>
              </w:rPr>
            </w:pPr>
            <w:r>
              <w:rPr>
                <w:rFonts w:ascii="Arial" w:eastAsia="Arial" w:hAnsi="Arial" w:cs="Arial"/>
              </w:rPr>
              <w:t>Technical capability</w:t>
            </w:r>
          </w:p>
        </w:tc>
        <w:tc>
          <w:tcPr>
            <w:tcW w:w="7208" w:type="dxa"/>
          </w:tcPr>
          <w:p w14:paraId="27BAA19B" w14:textId="77777777" w:rsidR="00BA0730" w:rsidRDefault="00000000">
            <w:pPr>
              <w:rPr>
                <w:rFonts w:ascii="Arial" w:eastAsia="Arial" w:hAnsi="Arial" w:cs="Arial"/>
              </w:rPr>
            </w:pPr>
            <w:r>
              <w:rPr>
                <w:rFonts w:ascii="Arial" w:eastAsia="Arial" w:hAnsi="Arial" w:cs="Arial"/>
              </w:rPr>
              <w:t xml:space="preserve">Strong Excel/Google Sheets Analytic Platforms Knowledge, data cleaning, dashboarding, </w:t>
            </w:r>
            <w:proofErr w:type="spellStart"/>
            <w:r>
              <w:rPr>
                <w:rFonts w:ascii="Arial" w:eastAsia="Arial" w:hAnsi="Arial" w:cs="Arial"/>
              </w:rPr>
              <w:t>visualisation</w:t>
            </w:r>
            <w:proofErr w:type="spellEnd"/>
            <w:r>
              <w:rPr>
                <w:rFonts w:ascii="Arial" w:eastAsia="Arial" w:hAnsi="Arial" w:cs="Arial"/>
              </w:rPr>
              <w:t>, statistical thinking, data interpretation and reporting skills. SQL, Python or R is an added advantage.</w:t>
            </w:r>
          </w:p>
        </w:tc>
      </w:tr>
      <w:tr w:rsidR="00BA0730" w14:paraId="2DE22C2F" w14:textId="77777777">
        <w:trPr>
          <w:jc w:val="center"/>
        </w:trPr>
        <w:tc>
          <w:tcPr>
            <w:tcW w:w="2142" w:type="dxa"/>
          </w:tcPr>
          <w:p w14:paraId="66D3E6CB" w14:textId="77777777" w:rsidR="00BA0730" w:rsidRDefault="00000000">
            <w:pPr>
              <w:rPr>
                <w:rFonts w:ascii="Arial" w:eastAsia="Arial" w:hAnsi="Arial" w:cs="Arial"/>
              </w:rPr>
            </w:pPr>
            <w:r>
              <w:rPr>
                <w:rFonts w:ascii="Arial" w:eastAsia="Arial" w:hAnsi="Arial" w:cs="Arial"/>
              </w:rPr>
              <w:t>Marketing analytics</w:t>
            </w:r>
          </w:p>
        </w:tc>
        <w:tc>
          <w:tcPr>
            <w:tcW w:w="7208" w:type="dxa"/>
          </w:tcPr>
          <w:p w14:paraId="6A49D7A1" w14:textId="77777777" w:rsidR="00BA0730" w:rsidRDefault="00000000">
            <w:pPr>
              <w:rPr>
                <w:rFonts w:ascii="Arial" w:eastAsia="Arial" w:hAnsi="Arial" w:cs="Arial"/>
              </w:rPr>
            </w:pPr>
            <w:r>
              <w:rPr>
                <w:rFonts w:ascii="Arial" w:eastAsia="Arial" w:hAnsi="Arial" w:cs="Arial"/>
              </w:rPr>
              <w:t>Good understanding of digital campaign metrics, GA4, social analytics, paid media reports, website analytics, PR/media metrics, influencer metrics, lead funnels and campaign attribution limitations.</w:t>
            </w:r>
          </w:p>
        </w:tc>
      </w:tr>
      <w:tr w:rsidR="00BA0730" w14:paraId="4E68D415" w14:textId="77777777">
        <w:trPr>
          <w:jc w:val="center"/>
        </w:trPr>
        <w:tc>
          <w:tcPr>
            <w:tcW w:w="2142" w:type="dxa"/>
          </w:tcPr>
          <w:p w14:paraId="58C5C1BE" w14:textId="77777777" w:rsidR="00BA0730" w:rsidRDefault="00000000">
            <w:pPr>
              <w:rPr>
                <w:rFonts w:ascii="Arial" w:eastAsia="Arial" w:hAnsi="Arial" w:cs="Arial"/>
              </w:rPr>
            </w:pPr>
            <w:r>
              <w:rPr>
                <w:rFonts w:ascii="Arial" w:eastAsia="Arial" w:hAnsi="Arial" w:cs="Arial"/>
              </w:rPr>
              <w:t>Business communication</w:t>
            </w:r>
          </w:p>
        </w:tc>
        <w:tc>
          <w:tcPr>
            <w:tcW w:w="7208" w:type="dxa"/>
          </w:tcPr>
          <w:p w14:paraId="35A6787B" w14:textId="77777777" w:rsidR="00BA0730" w:rsidRDefault="00000000">
            <w:pPr>
              <w:rPr>
                <w:rFonts w:ascii="Arial" w:eastAsia="Arial" w:hAnsi="Arial" w:cs="Arial"/>
              </w:rPr>
            </w:pPr>
            <w:r>
              <w:rPr>
                <w:rFonts w:ascii="Arial" w:eastAsia="Arial" w:hAnsi="Arial" w:cs="Arial"/>
              </w:rPr>
              <w:t>Ability to explain technical findings in simple management language, create clean visuals and distinguish activity, output, outcome and commercial impact.</w:t>
            </w:r>
          </w:p>
        </w:tc>
      </w:tr>
      <w:tr w:rsidR="00BA0730" w14:paraId="00984C90" w14:textId="77777777">
        <w:trPr>
          <w:jc w:val="center"/>
        </w:trPr>
        <w:tc>
          <w:tcPr>
            <w:tcW w:w="2142" w:type="dxa"/>
          </w:tcPr>
          <w:p w14:paraId="269D1BD2" w14:textId="77777777" w:rsidR="00BA0730" w:rsidRDefault="00000000">
            <w:pPr>
              <w:rPr>
                <w:rFonts w:ascii="Arial" w:eastAsia="Arial" w:hAnsi="Arial" w:cs="Arial"/>
              </w:rPr>
            </w:pPr>
            <w:r>
              <w:rPr>
                <w:rFonts w:ascii="Arial" w:eastAsia="Arial" w:hAnsi="Arial" w:cs="Arial"/>
              </w:rPr>
              <w:t>Tools and systems</w:t>
            </w:r>
          </w:p>
        </w:tc>
        <w:tc>
          <w:tcPr>
            <w:tcW w:w="7208" w:type="dxa"/>
          </w:tcPr>
          <w:p w14:paraId="74411A3B" w14:textId="77777777" w:rsidR="00BA0730" w:rsidRDefault="00000000">
            <w:pPr>
              <w:rPr>
                <w:rFonts w:ascii="Arial" w:eastAsia="Arial" w:hAnsi="Arial" w:cs="Arial"/>
              </w:rPr>
            </w:pPr>
            <w:r>
              <w:rPr>
                <w:rFonts w:ascii="Arial" w:eastAsia="Arial" w:hAnsi="Arial" w:cs="Arial"/>
              </w:rPr>
              <w:t>Experience with Looker Studio, Power BI or similar BI tools; GA4; platform dashboards; CRM exports; social analytics; project tracking tools; and responsible AI-enabled data support.</w:t>
            </w:r>
          </w:p>
        </w:tc>
      </w:tr>
      <w:tr w:rsidR="00BA0730" w14:paraId="05341B04" w14:textId="77777777">
        <w:trPr>
          <w:jc w:val="center"/>
        </w:trPr>
        <w:tc>
          <w:tcPr>
            <w:tcW w:w="2142" w:type="dxa"/>
          </w:tcPr>
          <w:p w14:paraId="6DBDDEFE" w14:textId="77777777" w:rsidR="00BA0730" w:rsidRDefault="00000000">
            <w:pPr>
              <w:rPr>
                <w:rFonts w:ascii="Arial" w:eastAsia="Arial" w:hAnsi="Arial" w:cs="Arial"/>
              </w:rPr>
            </w:pPr>
            <w:r>
              <w:rPr>
                <w:rFonts w:ascii="Arial" w:eastAsia="Arial" w:hAnsi="Arial" w:cs="Arial"/>
              </w:rPr>
              <w:t>Governance and ethics</w:t>
            </w:r>
          </w:p>
        </w:tc>
        <w:tc>
          <w:tcPr>
            <w:tcW w:w="7208" w:type="dxa"/>
          </w:tcPr>
          <w:p w14:paraId="28209656" w14:textId="77777777" w:rsidR="00BA0730" w:rsidRDefault="00000000">
            <w:pPr>
              <w:rPr>
                <w:rFonts w:ascii="Arial" w:eastAsia="Arial" w:hAnsi="Arial" w:cs="Arial"/>
              </w:rPr>
            </w:pPr>
            <w:r>
              <w:rPr>
                <w:rFonts w:ascii="Arial" w:eastAsia="Arial" w:hAnsi="Arial" w:cs="Arial"/>
              </w:rPr>
              <w:t>Strong attention to data privacy, confidentiality, source documentation, assumption disclosure, quality assurance and responsible use of client data.</w:t>
            </w:r>
          </w:p>
        </w:tc>
      </w:tr>
      <w:tr w:rsidR="00BA0730" w14:paraId="6913B439" w14:textId="77777777">
        <w:trPr>
          <w:jc w:val="center"/>
        </w:trPr>
        <w:tc>
          <w:tcPr>
            <w:tcW w:w="2142" w:type="dxa"/>
          </w:tcPr>
          <w:p w14:paraId="3AFD1DA7" w14:textId="77777777" w:rsidR="00BA0730" w:rsidRDefault="00000000">
            <w:pPr>
              <w:rPr>
                <w:rFonts w:ascii="Arial" w:eastAsia="Arial" w:hAnsi="Arial" w:cs="Arial"/>
              </w:rPr>
            </w:pPr>
            <w:r>
              <w:rPr>
                <w:rFonts w:ascii="Arial" w:eastAsia="Arial" w:hAnsi="Arial" w:cs="Arial"/>
              </w:rPr>
              <w:t>Core competencies</w:t>
            </w:r>
          </w:p>
        </w:tc>
        <w:tc>
          <w:tcPr>
            <w:tcW w:w="7208" w:type="dxa"/>
          </w:tcPr>
          <w:p w14:paraId="1B676829" w14:textId="77777777" w:rsidR="00BA0730" w:rsidRDefault="00000000">
            <w:pPr>
              <w:rPr>
                <w:rFonts w:ascii="Arial" w:eastAsia="Arial" w:hAnsi="Arial" w:cs="Arial"/>
              </w:rPr>
            </w:pPr>
            <w:r>
              <w:rPr>
                <w:rFonts w:ascii="Arial" w:eastAsia="Arial" w:hAnsi="Arial" w:cs="Arial"/>
              </w:rPr>
              <w:t>Curiosity, structured thinking, attention to detail, problem-solving, independence, collaboration, accuracy, commercial awareness and willingness to challenge weak assumptions respectfully.</w:t>
            </w:r>
          </w:p>
        </w:tc>
      </w:tr>
      <w:tr w:rsidR="00BA0730" w14:paraId="45259B30" w14:textId="77777777">
        <w:trPr>
          <w:jc w:val="center"/>
        </w:trPr>
        <w:tc>
          <w:tcPr>
            <w:tcW w:w="2142" w:type="dxa"/>
          </w:tcPr>
          <w:p w14:paraId="33F5EBEA" w14:textId="77777777" w:rsidR="00BA0730" w:rsidRDefault="00000000">
            <w:pPr>
              <w:rPr>
                <w:rFonts w:ascii="Arial" w:eastAsia="Arial" w:hAnsi="Arial" w:cs="Arial"/>
              </w:rPr>
            </w:pPr>
            <w:r>
              <w:rPr>
                <w:rFonts w:ascii="Arial" w:eastAsia="Arial" w:hAnsi="Arial" w:cs="Arial"/>
              </w:rPr>
              <w:t>TDM values fit</w:t>
            </w:r>
          </w:p>
        </w:tc>
        <w:tc>
          <w:tcPr>
            <w:tcW w:w="7208" w:type="dxa"/>
          </w:tcPr>
          <w:p w14:paraId="7C68377C" w14:textId="77777777" w:rsidR="00BA0730" w:rsidRDefault="00000000">
            <w:pPr>
              <w:rPr>
                <w:rFonts w:ascii="Arial" w:eastAsia="Arial" w:hAnsi="Arial" w:cs="Arial"/>
              </w:rPr>
            </w:pPr>
            <w:r>
              <w:rPr>
                <w:rFonts w:ascii="Arial" w:eastAsia="Arial" w:hAnsi="Arial" w:cs="Arial"/>
              </w:rPr>
              <w:t>Demonstrates authenticity through honest reporting, innovation through better measurement, courage through evidence-led recommendations, excellence through accuracy and empowerment through data literacy support.</w:t>
            </w:r>
          </w:p>
        </w:tc>
      </w:tr>
    </w:tbl>
    <w:p w14:paraId="4EBF661D" w14:textId="77777777" w:rsidR="00BA0730" w:rsidRDefault="00BA0730">
      <w:pPr>
        <w:spacing w:line="259" w:lineRule="auto"/>
        <w:jc w:val="both"/>
      </w:pPr>
    </w:p>
    <w:sectPr w:rsidR="00BA0730">
      <w:headerReference w:type="default" r:id="rId8"/>
      <w:footerReference w:type="default" r:id="rId9"/>
      <w:headerReference w:type="first" r:id="rId10"/>
      <w:footerReference w:type="first" r:id="rId11"/>
      <w:pgSz w:w="12240" w:h="15840"/>
      <w:pgMar w:top="2340" w:right="1440" w:bottom="1440" w:left="1440" w:header="720" w:footer="33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8E356" w14:textId="77777777" w:rsidR="00C85A7C" w:rsidRDefault="00C85A7C">
      <w:pPr>
        <w:spacing w:line="240" w:lineRule="auto"/>
      </w:pPr>
      <w:r>
        <w:separator/>
      </w:r>
    </w:p>
  </w:endnote>
  <w:endnote w:type="continuationSeparator" w:id="0">
    <w:p w14:paraId="503E79EF" w14:textId="77777777" w:rsidR="00C85A7C" w:rsidRDefault="00C85A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B389017-BBFB-4CC8-92F8-D3C35BD06E4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A888AA8-C7C9-497E-B0ED-008FAAFC1D53}"/>
  </w:font>
  <w:font w:name="Montserrat">
    <w:charset w:val="00"/>
    <w:family w:val="auto"/>
    <w:pitch w:val="variable"/>
    <w:sig w:usb0="2000020F" w:usb1="00000003" w:usb2="00000000" w:usb3="00000000" w:csb0="00000197" w:csb1="00000000"/>
    <w:embedRegular r:id="rId3" w:fontKey="{E13E33F8-052D-4CCE-92FB-3AC22A43492A}"/>
    <w:embedBold r:id="rId4" w:fontKey="{38A0016C-3DC8-42F5-9353-05891B9F1C5D}"/>
  </w:font>
  <w:font w:name="Calibri">
    <w:panose1 w:val="020F0502020204030204"/>
    <w:charset w:val="00"/>
    <w:family w:val="swiss"/>
    <w:pitch w:val="variable"/>
    <w:sig w:usb0="E4002EFF" w:usb1="C200247B" w:usb2="00000009" w:usb3="00000000" w:csb0="000001FF" w:csb1="00000000"/>
    <w:embedRegular r:id="rId5" w:fontKey="{4A6836AF-120D-4FED-A609-5F8C255E73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A72B" w14:textId="77777777" w:rsidR="00BA0730" w:rsidRDefault="00BA0730"/>
  <w:tbl>
    <w:tblPr>
      <w:tblStyle w:val="aa"/>
      <w:tblW w:w="1140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235"/>
      <w:gridCol w:w="855"/>
      <w:gridCol w:w="1800"/>
      <w:gridCol w:w="900"/>
      <w:gridCol w:w="1950"/>
      <w:gridCol w:w="1035"/>
      <w:gridCol w:w="1815"/>
    </w:tblGrid>
    <w:tr w:rsidR="00BA0730" w14:paraId="50CC94C2" w14:textId="77777777">
      <w:trPr>
        <w:trHeight w:val="945"/>
      </w:trPr>
      <w:tc>
        <w:tcPr>
          <w:tcW w:w="8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9C0200" w14:textId="77777777" w:rsidR="00BA0730" w:rsidRDefault="00000000">
          <w:pPr>
            <w:spacing w:line="240" w:lineRule="auto"/>
          </w:pPr>
          <w:r>
            <w:rPr>
              <w:noProof/>
            </w:rPr>
            <w:drawing>
              <wp:inline distT="114300" distB="114300" distL="114300" distR="114300" wp14:anchorId="21B1803D" wp14:editId="31916606">
                <wp:extent cx="401982" cy="40481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01982" cy="404813"/>
                        </a:xfrm>
                        <a:prstGeom prst="rect">
                          <a:avLst/>
                        </a:prstGeom>
                        <a:ln/>
                      </pic:spPr>
                    </pic:pic>
                  </a:graphicData>
                </a:graphic>
              </wp:inline>
            </w:drawing>
          </w:r>
        </w:p>
      </w:tc>
      <w:tc>
        <w:tcPr>
          <w:tcW w:w="2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058A9F" w14:textId="77777777" w:rsidR="00BA0730" w:rsidRDefault="00000000">
          <w:pPr>
            <w:widowControl w:val="0"/>
            <w:spacing w:line="240" w:lineRule="auto"/>
            <w:rPr>
              <w:rFonts w:ascii="Montserrat" w:eastAsia="Montserrat" w:hAnsi="Montserrat" w:cs="Montserrat"/>
              <w:b/>
              <w:bCs/>
              <w:sz w:val="16"/>
              <w:szCs w:val="16"/>
            </w:rPr>
          </w:pPr>
          <w:proofErr w:type="spellStart"/>
          <w:r>
            <w:rPr>
              <w:rFonts w:ascii="Montserrat" w:eastAsia="Montserrat" w:hAnsi="Montserrat" w:cs="Montserrat"/>
              <w:b/>
              <w:bCs/>
              <w:sz w:val="16"/>
              <w:szCs w:val="16"/>
            </w:rPr>
            <w:t>Suit</w:t>
          </w:r>
          <w:proofErr w:type="spellEnd"/>
          <w:r>
            <w:rPr>
              <w:rFonts w:ascii="Montserrat" w:eastAsia="Montserrat" w:hAnsi="Montserrat" w:cs="Montserrat"/>
              <w:b/>
              <w:bCs/>
              <w:sz w:val="16"/>
              <w:szCs w:val="16"/>
            </w:rPr>
            <w:t xml:space="preserve"> 14, Pergola Flats</w:t>
          </w:r>
        </w:p>
        <w:p w14:paraId="17A3E0B0"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 xml:space="preserve">Jakaya Kikwete Road, </w:t>
          </w:r>
          <w:proofErr w:type="spellStart"/>
          <w:r>
            <w:rPr>
              <w:rFonts w:ascii="Montserrat" w:eastAsia="Montserrat" w:hAnsi="Montserrat" w:cs="Montserrat"/>
              <w:b/>
              <w:bCs/>
              <w:sz w:val="16"/>
              <w:szCs w:val="16"/>
            </w:rPr>
            <w:t>Milimani</w:t>
          </w:r>
          <w:proofErr w:type="spellEnd"/>
          <w:r>
            <w:rPr>
              <w:rFonts w:ascii="Montserrat" w:eastAsia="Montserrat" w:hAnsi="Montserrat" w:cs="Montserrat"/>
              <w:b/>
              <w:bCs/>
              <w:sz w:val="16"/>
              <w:szCs w:val="16"/>
            </w:rPr>
            <w:t>,</w:t>
          </w:r>
        </w:p>
      </w:tc>
      <w:tc>
        <w:tcPr>
          <w:tcW w:w="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EF7B23"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203C10F" wp14:editId="55121DDC">
                <wp:extent cx="442913" cy="442913"/>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442913" cy="442913"/>
                        </a:xfrm>
                        <a:prstGeom prst="rect">
                          <a:avLst/>
                        </a:prstGeom>
                        <a:ln/>
                      </pic:spPr>
                    </pic:pic>
                  </a:graphicData>
                </a:graphic>
              </wp:inline>
            </w:drawing>
          </w:r>
        </w:p>
      </w:tc>
      <w:tc>
        <w:tcPr>
          <w:tcW w:w="18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538DDB"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P.O. Box 59925-00200</w:t>
          </w:r>
        </w:p>
        <w:p w14:paraId="0A7607D8"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Nairobi, Kenya</w:t>
          </w:r>
        </w:p>
        <w:p w14:paraId="6D17918E" w14:textId="77777777" w:rsidR="00BA0730" w:rsidRDefault="00BA0730">
          <w:pPr>
            <w:widowControl w:val="0"/>
            <w:spacing w:line="240" w:lineRule="auto"/>
            <w:rPr>
              <w:rFonts w:ascii="Montserrat" w:eastAsia="Montserrat" w:hAnsi="Montserrat" w:cs="Montserrat"/>
              <w:sz w:val="16"/>
              <w:szCs w:val="16"/>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37D53E"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31070B7" wp14:editId="18C0F69F">
                <wp:extent cx="438150" cy="3937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438150" cy="393700"/>
                        </a:xfrm>
                        <a:prstGeom prst="rect">
                          <a:avLst/>
                        </a:prstGeom>
                        <a:ln/>
                      </pic:spPr>
                    </pic:pic>
                  </a:graphicData>
                </a:graphic>
              </wp:inline>
            </w:drawing>
          </w:r>
        </w:p>
      </w:tc>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FC91A7"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dm@tdm.co.ke</w:t>
          </w:r>
        </w:p>
        <w:p w14:paraId="286C7D40"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www.tdm.co.ke</w:t>
          </w:r>
        </w:p>
      </w:tc>
      <w:tc>
        <w:tcPr>
          <w:tcW w:w="10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0DC1F6"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DC1F8F2" wp14:editId="557824D1">
                <wp:extent cx="395288" cy="395288"/>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395288" cy="395288"/>
                        </a:xfrm>
                        <a:prstGeom prst="rect">
                          <a:avLst/>
                        </a:prstGeom>
                        <a:ln/>
                      </pic:spPr>
                    </pic:pic>
                  </a:graphicData>
                </a:graphic>
              </wp:inline>
            </w:drawing>
          </w:r>
        </w:p>
      </w:tc>
      <w:tc>
        <w:tcPr>
          <w:tcW w:w="18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D6DFAB"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+254 112 234 044</w:t>
          </w:r>
        </w:p>
        <w:p w14:paraId="5D4F9323"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+254 715 958 708</w:t>
          </w:r>
        </w:p>
      </w:tc>
    </w:tr>
  </w:tbl>
  <w:p w14:paraId="5373B7A8" w14:textId="77777777" w:rsidR="00BA0730" w:rsidRDefault="00BA073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F78D" w14:textId="77777777" w:rsidR="00BA0730" w:rsidRDefault="00BA0730"/>
  <w:p w14:paraId="31AACAD1" w14:textId="77777777" w:rsidR="00BA0730" w:rsidRDefault="00BA0730"/>
  <w:tbl>
    <w:tblPr>
      <w:tblStyle w:val="ab"/>
      <w:tblW w:w="1140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235"/>
      <w:gridCol w:w="855"/>
      <w:gridCol w:w="1800"/>
      <w:gridCol w:w="900"/>
      <w:gridCol w:w="1950"/>
      <w:gridCol w:w="1035"/>
      <w:gridCol w:w="1815"/>
    </w:tblGrid>
    <w:tr w:rsidR="00BA0730" w14:paraId="3953B984" w14:textId="77777777">
      <w:trPr>
        <w:trHeight w:val="945"/>
      </w:trPr>
      <w:tc>
        <w:tcPr>
          <w:tcW w:w="8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3391AA" w14:textId="77777777" w:rsidR="00BA0730" w:rsidRDefault="00000000">
          <w:pPr>
            <w:spacing w:line="240" w:lineRule="auto"/>
          </w:pPr>
          <w:r>
            <w:rPr>
              <w:noProof/>
            </w:rPr>
            <w:drawing>
              <wp:inline distT="114300" distB="114300" distL="114300" distR="114300" wp14:anchorId="5C39429E" wp14:editId="1BBD96BF">
                <wp:extent cx="401982" cy="40481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01982" cy="404813"/>
                        </a:xfrm>
                        <a:prstGeom prst="rect">
                          <a:avLst/>
                        </a:prstGeom>
                        <a:ln/>
                      </pic:spPr>
                    </pic:pic>
                  </a:graphicData>
                </a:graphic>
              </wp:inline>
            </w:drawing>
          </w:r>
        </w:p>
      </w:tc>
      <w:tc>
        <w:tcPr>
          <w:tcW w:w="2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67E326"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Suite 14, Pergola Flats,</w:t>
          </w:r>
        </w:p>
        <w:p w14:paraId="0D821215"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 xml:space="preserve">Jakaya Kikwete Road, </w:t>
          </w:r>
          <w:proofErr w:type="spellStart"/>
          <w:r>
            <w:rPr>
              <w:rFonts w:ascii="Montserrat" w:eastAsia="Montserrat" w:hAnsi="Montserrat" w:cs="Montserrat"/>
              <w:b/>
              <w:bCs/>
              <w:sz w:val="16"/>
              <w:szCs w:val="16"/>
            </w:rPr>
            <w:t>Milimani</w:t>
          </w:r>
          <w:proofErr w:type="spellEnd"/>
          <w:r>
            <w:rPr>
              <w:rFonts w:ascii="Montserrat" w:eastAsia="Montserrat" w:hAnsi="Montserrat" w:cs="Montserrat"/>
              <w:b/>
              <w:bCs/>
              <w:sz w:val="16"/>
              <w:szCs w:val="16"/>
            </w:rPr>
            <w:t>,</w:t>
          </w:r>
        </w:p>
        <w:p w14:paraId="51FC795C" w14:textId="77777777" w:rsidR="00BA0730" w:rsidRDefault="00BA0730">
          <w:pPr>
            <w:rPr>
              <w:rFonts w:ascii="Montserrat" w:eastAsia="Montserrat" w:hAnsi="Montserrat" w:cs="Montserrat"/>
              <w:b/>
              <w:bCs/>
              <w:sz w:val="16"/>
              <w:szCs w:val="16"/>
            </w:rPr>
          </w:pPr>
        </w:p>
        <w:p w14:paraId="5DC88E12" w14:textId="77777777" w:rsidR="00BA0730" w:rsidRDefault="00BA0730">
          <w:pPr>
            <w:rPr>
              <w:rFonts w:ascii="Montserrat" w:eastAsia="Montserrat" w:hAnsi="Montserrat" w:cs="Montserrat"/>
              <w:sz w:val="16"/>
              <w:szCs w:val="16"/>
            </w:rPr>
          </w:pPr>
        </w:p>
      </w:tc>
      <w:tc>
        <w:tcPr>
          <w:tcW w:w="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FF2599"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534CCDB7" wp14:editId="447CC564">
                <wp:extent cx="442913" cy="442913"/>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442913" cy="442913"/>
                        </a:xfrm>
                        <a:prstGeom prst="rect">
                          <a:avLst/>
                        </a:prstGeom>
                        <a:ln/>
                      </pic:spPr>
                    </pic:pic>
                  </a:graphicData>
                </a:graphic>
              </wp:inline>
            </w:drawing>
          </w:r>
        </w:p>
      </w:tc>
      <w:tc>
        <w:tcPr>
          <w:tcW w:w="18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524F59"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P.O. Box 59925-00200</w:t>
          </w:r>
        </w:p>
        <w:p w14:paraId="44BAF168"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Nairobi, Kenya</w:t>
          </w:r>
        </w:p>
        <w:p w14:paraId="52CC0815" w14:textId="77777777" w:rsidR="00BA0730" w:rsidRDefault="00BA0730">
          <w:pPr>
            <w:widowControl w:val="0"/>
            <w:spacing w:line="240" w:lineRule="auto"/>
            <w:rPr>
              <w:rFonts w:ascii="Montserrat" w:eastAsia="Montserrat" w:hAnsi="Montserrat" w:cs="Montserrat"/>
              <w:sz w:val="16"/>
              <w:szCs w:val="16"/>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5EFDA5"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01AD53FD" wp14:editId="717BCF66">
                <wp:extent cx="438150" cy="3937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438150" cy="393700"/>
                        </a:xfrm>
                        <a:prstGeom prst="rect">
                          <a:avLst/>
                        </a:prstGeom>
                        <a:ln/>
                      </pic:spPr>
                    </pic:pic>
                  </a:graphicData>
                </a:graphic>
              </wp:inline>
            </w:drawing>
          </w:r>
        </w:p>
      </w:tc>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3591FC"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dm@tdm.co.ke</w:t>
          </w:r>
        </w:p>
        <w:p w14:paraId="752E51E0"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www.tdm.co.ke</w:t>
          </w:r>
        </w:p>
      </w:tc>
      <w:tc>
        <w:tcPr>
          <w:tcW w:w="10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07FCC8"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5D068A1" wp14:editId="174ABA8A">
                <wp:extent cx="395288" cy="395288"/>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395288" cy="395288"/>
                        </a:xfrm>
                        <a:prstGeom prst="rect">
                          <a:avLst/>
                        </a:prstGeom>
                        <a:ln/>
                      </pic:spPr>
                    </pic:pic>
                  </a:graphicData>
                </a:graphic>
              </wp:inline>
            </w:drawing>
          </w:r>
        </w:p>
      </w:tc>
      <w:tc>
        <w:tcPr>
          <w:tcW w:w="18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79489F"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+254 112 234 044</w:t>
          </w:r>
        </w:p>
        <w:p w14:paraId="75E3A592"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+254 715 958 708</w:t>
          </w:r>
        </w:p>
      </w:tc>
    </w:tr>
  </w:tbl>
  <w:p w14:paraId="5C00D0F2" w14:textId="77777777" w:rsidR="00BA0730" w:rsidRDefault="00BA07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164F3" w14:textId="77777777" w:rsidR="00C85A7C" w:rsidRDefault="00C85A7C">
      <w:pPr>
        <w:spacing w:line="240" w:lineRule="auto"/>
      </w:pPr>
      <w:r>
        <w:separator/>
      </w:r>
    </w:p>
  </w:footnote>
  <w:footnote w:type="continuationSeparator" w:id="0">
    <w:p w14:paraId="4058DD85" w14:textId="77777777" w:rsidR="00C85A7C" w:rsidRDefault="00C85A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A5ED" w14:textId="77777777" w:rsidR="00BA0730" w:rsidRDefault="00BA0730"/>
  <w:tbl>
    <w:tblPr>
      <w:tblStyle w:val="a8"/>
      <w:tblW w:w="11355"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5"/>
      <w:gridCol w:w="5730"/>
    </w:tblGrid>
    <w:tr w:rsidR="00BA0730" w14:paraId="477B1592" w14:textId="77777777">
      <w:tc>
        <w:tcPr>
          <w:tcW w:w="5625" w:type="dxa"/>
          <w:tcBorders>
            <w:top w:val="nil"/>
            <w:left w:val="nil"/>
            <w:bottom w:val="nil"/>
            <w:right w:val="nil"/>
          </w:tcBorders>
          <w:tcMar>
            <w:top w:w="100" w:type="dxa"/>
            <w:left w:w="100" w:type="dxa"/>
            <w:bottom w:w="100" w:type="dxa"/>
            <w:right w:w="100" w:type="dxa"/>
          </w:tcMar>
        </w:tcPr>
        <w:p w14:paraId="7F4F64BD" w14:textId="77777777" w:rsidR="00BA0730" w:rsidRDefault="00000000">
          <w:pPr>
            <w:widowControl w:val="0"/>
            <w:spacing w:line="240" w:lineRule="auto"/>
          </w:pPr>
          <w:r>
            <w:rPr>
              <w:noProof/>
            </w:rPr>
            <w:drawing>
              <wp:inline distT="114300" distB="114300" distL="114300" distR="114300" wp14:anchorId="561095C0" wp14:editId="554DB8A5">
                <wp:extent cx="1652588" cy="621942"/>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52588" cy="621942"/>
                        </a:xfrm>
                        <a:prstGeom prst="rect">
                          <a:avLst/>
                        </a:prstGeom>
                        <a:ln/>
                      </pic:spPr>
                    </pic:pic>
                  </a:graphicData>
                </a:graphic>
              </wp:inline>
            </w:drawing>
          </w:r>
        </w:p>
      </w:tc>
      <w:tc>
        <w:tcPr>
          <w:tcW w:w="5730" w:type="dxa"/>
          <w:tcBorders>
            <w:top w:val="nil"/>
            <w:left w:val="nil"/>
            <w:bottom w:val="nil"/>
            <w:right w:val="nil"/>
          </w:tcBorders>
          <w:tcMar>
            <w:top w:w="100" w:type="dxa"/>
            <w:left w:w="100" w:type="dxa"/>
            <w:bottom w:w="100" w:type="dxa"/>
            <w:right w:w="100" w:type="dxa"/>
          </w:tcMar>
        </w:tcPr>
        <w:p w14:paraId="23D8993A" w14:textId="77777777" w:rsidR="00BA0730" w:rsidRDefault="00000000">
          <w:pPr>
            <w:widowControl w:val="0"/>
            <w:spacing w:line="240" w:lineRule="auto"/>
            <w:jc w:val="right"/>
            <w:rPr>
              <w:rFonts w:ascii="Montserrat" w:eastAsia="Montserrat" w:hAnsi="Montserrat" w:cs="Montserrat"/>
              <w:b/>
              <w:bCs/>
              <w:color w:val="666666"/>
            </w:rPr>
          </w:pPr>
          <w:r>
            <w:rPr>
              <w:rFonts w:ascii="Montserrat" w:eastAsia="Montserrat" w:hAnsi="Montserrat" w:cs="Montserrat"/>
              <w:b/>
              <w:bCs/>
              <w:color w:val="666666"/>
            </w:rPr>
            <w:t>www.tdm.co.ke</w:t>
          </w:r>
        </w:p>
      </w:tc>
    </w:tr>
  </w:tbl>
  <w:p w14:paraId="57F7512A" w14:textId="77777777" w:rsidR="00BA0730" w:rsidRDefault="00BA07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952C2" w14:textId="77777777" w:rsidR="00BA0730" w:rsidRDefault="00000000">
    <w:r>
      <w:rPr>
        <w:noProof/>
      </w:rPr>
      <w:drawing>
        <wp:anchor distT="114300" distB="114300" distL="114300" distR="114300" simplePos="0" relativeHeight="251658240" behindDoc="0" locked="0" layoutInCell="1" hidden="0" allowOverlap="1" wp14:anchorId="7D295C02" wp14:editId="36BBC31F">
          <wp:simplePos x="0" y="0"/>
          <wp:positionH relativeFrom="column">
            <wp:posOffset>-319080</wp:posOffset>
          </wp:positionH>
          <wp:positionV relativeFrom="paragraph">
            <wp:posOffset>-72066</wp:posOffset>
          </wp:positionV>
          <wp:extent cx="1719263" cy="643574"/>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19263" cy="643574"/>
                  </a:xfrm>
                  <a:prstGeom prst="rect">
                    <a:avLst/>
                  </a:prstGeom>
                  <a:ln/>
                </pic:spPr>
              </pic:pic>
            </a:graphicData>
          </a:graphic>
        </wp:anchor>
      </w:drawing>
    </w:r>
  </w:p>
  <w:tbl>
    <w:tblPr>
      <w:tblStyle w:val="a9"/>
      <w:tblW w:w="11355"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5"/>
      <w:gridCol w:w="5730"/>
    </w:tblGrid>
    <w:tr w:rsidR="00BA0730" w14:paraId="342548D3" w14:textId="77777777">
      <w:tc>
        <w:tcPr>
          <w:tcW w:w="5625" w:type="dxa"/>
          <w:tcBorders>
            <w:top w:val="nil"/>
            <w:left w:val="nil"/>
            <w:bottom w:val="nil"/>
            <w:right w:val="nil"/>
          </w:tcBorders>
          <w:tcMar>
            <w:top w:w="100" w:type="dxa"/>
            <w:left w:w="100" w:type="dxa"/>
            <w:bottom w:w="100" w:type="dxa"/>
            <w:right w:w="100" w:type="dxa"/>
          </w:tcMar>
        </w:tcPr>
        <w:p w14:paraId="3B28A90E" w14:textId="77777777" w:rsidR="00BA0730" w:rsidRDefault="00BA0730">
          <w:pPr>
            <w:widowControl w:val="0"/>
            <w:spacing w:line="240" w:lineRule="auto"/>
          </w:pPr>
        </w:p>
      </w:tc>
      <w:tc>
        <w:tcPr>
          <w:tcW w:w="5730" w:type="dxa"/>
          <w:tcBorders>
            <w:top w:val="nil"/>
            <w:left w:val="nil"/>
            <w:bottom w:val="nil"/>
            <w:right w:val="nil"/>
          </w:tcBorders>
          <w:tcMar>
            <w:top w:w="100" w:type="dxa"/>
            <w:left w:w="100" w:type="dxa"/>
            <w:bottom w:w="100" w:type="dxa"/>
            <w:right w:w="100" w:type="dxa"/>
          </w:tcMar>
        </w:tcPr>
        <w:p w14:paraId="21EA49FE" w14:textId="77777777" w:rsidR="00BA0730" w:rsidRDefault="00000000">
          <w:pPr>
            <w:widowControl w:val="0"/>
            <w:spacing w:line="240" w:lineRule="auto"/>
            <w:jc w:val="right"/>
            <w:rPr>
              <w:rFonts w:ascii="Montserrat" w:eastAsia="Montserrat" w:hAnsi="Montserrat" w:cs="Montserrat"/>
              <w:b/>
              <w:bCs/>
              <w:color w:val="666666"/>
            </w:rPr>
          </w:pPr>
          <w:r>
            <w:rPr>
              <w:rFonts w:ascii="Montserrat" w:eastAsia="Montserrat" w:hAnsi="Montserrat" w:cs="Montserrat"/>
              <w:b/>
              <w:bCs/>
              <w:color w:val="666666"/>
            </w:rPr>
            <w:t>www.tdm.co.ke</w:t>
          </w:r>
        </w:p>
      </w:tc>
    </w:tr>
  </w:tbl>
  <w:p w14:paraId="15679F4C" w14:textId="77777777" w:rsidR="00BA0730" w:rsidRDefault="00BA07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D39CA"/>
    <w:multiLevelType w:val="multilevel"/>
    <w:tmpl w:val="EA52E1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99563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730"/>
    <w:rsid w:val="00062282"/>
    <w:rsid w:val="000F31DE"/>
    <w:rsid w:val="000F5E71"/>
    <w:rsid w:val="00581AB4"/>
    <w:rsid w:val="0070531D"/>
    <w:rsid w:val="008851E0"/>
    <w:rsid w:val="00BA0730"/>
    <w:rsid w:val="00C85A7C"/>
    <w:rsid w:val="00FE7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02033"/>
  <w15:docId w15:val="{EDB6F76C-A6FA-4647-BFDD-548856384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P9ZMmNNR2ceN228G+umdhys+w==">CgMxLjAyDmguZDNnenVyZWkydWNlMg5oLnk1dzducWloOXFhYTIOaC5nOTQ2c3gxZzZnNjQyDmguMXlhNHV3eWhyaTJwMg5oLmNoZThycm9zem96aTIOaC5pbnltMDBoc3dnc3YyDmgucjdoOG10bHZjbDdiMg5oLnJpemJpZTQ1eTU2cTIOaC4xYzl1cTBld25sYzQyDmgucXFpOHU1eXh5cmRpMg5oLjgzYTExbmpicTZlNjINaC5mczN2ZDB6a21zdTIOaC5zZWtpZjdsaGM4czMyDmguamNkbnBoaHZib2c3Mg5oLmxhZXNidm8zNnZsdzIOaC5sMnJubDByZHRzbXcyDmgubDUxYjF5amVkYWdjMg5oLnlkbjltampxNDh5MDIOaC5sNWJocmFjdG55ZnYyDmgucm5vMHc1b2twcnEyOAByITFmU2VVbEdMUUNYUUtkV1dyMmpZS1BZVmk1R3Rzc2VP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926</Words>
  <Characters>5280</Characters>
  <Application>Microsoft Office Word</Application>
  <DocSecurity>0</DocSecurity>
  <Lines>44</Lines>
  <Paragraphs>12</Paragraphs>
  <ScaleCrop>false</ScaleCrop>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2026-07-10T03:08:00Z</dcterms:created>
  <dcterms:modified xsi:type="dcterms:W3CDTF">2026-07-10T03:08:00Z</dcterms:modified>
</cp:coreProperties>
</file>