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D6804" w14:textId="353453C6" w:rsidR="00BA0730" w:rsidRDefault="00000000">
      <w:pPr>
        <w:pStyle w:val="Heading1"/>
        <w:spacing w:before="160" w:after="80"/>
        <w:rPr>
          <w:sz w:val="22"/>
          <w:szCs w:val="22"/>
        </w:rPr>
      </w:pPr>
      <w:r>
        <w:rPr>
          <w:b/>
          <w:bCs/>
          <w:color w:val="005F82"/>
          <w:sz w:val="22"/>
          <w:szCs w:val="22"/>
        </w:rPr>
        <w:t>Job Description: Media Buyer &amp; Planner (Digital and Traditional Media)</w:t>
      </w:r>
    </w:p>
    <w:p w14:paraId="084C18D4" w14:textId="77777777" w:rsidR="00BA0730" w:rsidRDefault="00000000">
      <w:pPr>
        <w:pStyle w:val="Heading2"/>
        <w:spacing w:before="80" w:after="80"/>
        <w:rPr>
          <w:sz w:val="22"/>
          <w:szCs w:val="22"/>
        </w:rPr>
      </w:pPr>
      <w:bookmarkStart w:id="0" w:name="_heading=h.qqi8u5yxyrdi" w:colFirst="0" w:colLast="0"/>
      <w:bookmarkEnd w:id="0"/>
      <w:r>
        <w:rPr>
          <w:b/>
          <w:bCs/>
          <w:color w:val="005F82"/>
          <w:sz w:val="22"/>
          <w:szCs w:val="22"/>
        </w:rPr>
        <w:t>Job Title</w:t>
      </w:r>
    </w:p>
    <w:p w14:paraId="6A613968" w14:textId="77777777" w:rsidR="00BA0730" w:rsidRDefault="00000000">
      <w:pPr>
        <w:spacing w:after="120" w:line="259" w:lineRule="auto"/>
        <w:jc w:val="both"/>
      </w:pPr>
      <w:r>
        <w:t>Media Buyer &amp; Planner (Digital and Traditional Media)</w:t>
      </w:r>
    </w:p>
    <w:p w14:paraId="2EE4340F" w14:textId="77777777" w:rsidR="00BA0730" w:rsidRDefault="00000000">
      <w:pPr>
        <w:pStyle w:val="Heading2"/>
        <w:spacing w:before="80" w:after="80"/>
        <w:rPr>
          <w:sz w:val="22"/>
          <w:szCs w:val="22"/>
        </w:rPr>
      </w:pPr>
      <w:bookmarkStart w:id="1" w:name="_heading=h.83a11njbq6e6" w:colFirst="0" w:colLast="0"/>
      <w:bookmarkEnd w:id="1"/>
      <w:r>
        <w:rPr>
          <w:b/>
          <w:bCs/>
          <w:color w:val="005F82"/>
          <w:sz w:val="22"/>
          <w:szCs w:val="22"/>
        </w:rPr>
        <w:t>Role Description / Summary</w:t>
      </w:r>
    </w:p>
    <w:p w14:paraId="03ADDECC" w14:textId="77777777" w:rsidR="00BA0730" w:rsidRDefault="00000000">
      <w:pPr>
        <w:spacing w:after="120" w:line="259" w:lineRule="auto"/>
        <w:jc w:val="both"/>
      </w:pPr>
      <w:r>
        <w:t>The Media Buyer &amp; Planner will lead planning, buying, placement, optimization and reporting of media campaigns across both digital and traditional channels. The role covers paid social, search, display, programmatic, online video and other digital platforms, while also managing traditional media such as TV, radio, print, outdoor, digital out-of-home, cinema and other offline placements. The role must ensure that media budgets are converted into measurable client results through insight-led planning, disciplined buying, placement verification, performance optimization, cost control, supplier management and clear post-campaign reporting.</w:t>
      </w:r>
    </w:p>
    <w:p w14:paraId="4048E631" w14:textId="77777777" w:rsidR="00BA0730" w:rsidRDefault="00000000">
      <w:pPr>
        <w:pStyle w:val="Heading2"/>
        <w:spacing w:before="80" w:after="80"/>
        <w:rPr>
          <w:sz w:val="22"/>
          <w:szCs w:val="22"/>
        </w:rPr>
      </w:pPr>
      <w:bookmarkStart w:id="2" w:name="_heading=h.fs3vd0zkmsu" w:colFirst="0" w:colLast="0"/>
      <w:bookmarkEnd w:id="2"/>
      <w:r>
        <w:rPr>
          <w:b/>
          <w:bCs/>
          <w:color w:val="005F82"/>
          <w:sz w:val="22"/>
          <w:szCs w:val="22"/>
        </w:rPr>
        <w:t>Key Responsibilities</w:t>
      </w:r>
    </w:p>
    <w:p w14:paraId="47B3B47A" w14:textId="77777777" w:rsidR="00BA0730" w:rsidRDefault="00000000">
      <w:pPr>
        <w:numPr>
          <w:ilvl w:val="0"/>
          <w:numId w:val="1"/>
        </w:numPr>
        <w:pBdr>
          <w:top w:val="nil"/>
          <w:left w:val="nil"/>
          <w:bottom w:val="nil"/>
          <w:right w:val="nil"/>
          <w:between w:val="nil"/>
        </w:pBdr>
        <w:spacing w:line="252" w:lineRule="auto"/>
        <w:jc w:val="both"/>
      </w:pPr>
      <w:r>
        <w:rPr>
          <w:color w:val="000000"/>
        </w:rPr>
        <w:t>Translate campaign objectives, target audiences, budgets and client priorities into integrated media strategies, channel recommendations, flighting plans and media schedules.</w:t>
      </w:r>
    </w:p>
    <w:p w14:paraId="541F7B85" w14:textId="77777777" w:rsidR="00BA0730" w:rsidRDefault="00000000">
      <w:pPr>
        <w:numPr>
          <w:ilvl w:val="0"/>
          <w:numId w:val="1"/>
        </w:numPr>
        <w:pBdr>
          <w:top w:val="nil"/>
          <w:left w:val="nil"/>
          <w:bottom w:val="nil"/>
          <w:right w:val="nil"/>
          <w:between w:val="nil"/>
        </w:pBdr>
        <w:spacing w:line="252" w:lineRule="auto"/>
        <w:jc w:val="both"/>
      </w:pPr>
      <w:r>
        <w:rPr>
          <w:color w:val="000000"/>
        </w:rPr>
        <w:t>Prepare media plans covering digital and traditional channels, including audience rationale, budget allocation, reach/frequency assumptions, expected outcomes, buying approach and reporting metrics.</w:t>
      </w:r>
    </w:p>
    <w:p w14:paraId="56D276EE" w14:textId="77777777" w:rsidR="00BA0730" w:rsidRDefault="00000000">
      <w:pPr>
        <w:numPr>
          <w:ilvl w:val="0"/>
          <w:numId w:val="1"/>
        </w:numPr>
        <w:pBdr>
          <w:top w:val="nil"/>
          <w:left w:val="nil"/>
          <w:bottom w:val="nil"/>
          <w:right w:val="nil"/>
          <w:between w:val="nil"/>
        </w:pBdr>
        <w:spacing w:line="252" w:lineRule="auto"/>
        <w:jc w:val="both"/>
      </w:pPr>
      <w:r>
        <w:rPr>
          <w:color w:val="000000"/>
        </w:rPr>
        <w:t>Negotiate media rates, discounts, value-adds, bonus spots, placements, packages and supplier terms while protecting TDM's commercial margins and client value.</w:t>
      </w:r>
    </w:p>
    <w:p w14:paraId="63296B97" w14:textId="77777777" w:rsidR="00BA0730" w:rsidRDefault="00000000">
      <w:pPr>
        <w:numPr>
          <w:ilvl w:val="0"/>
          <w:numId w:val="1"/>
        </w:numPr>
        <w:pBdr>
          <w:top w:val="nil"/>
          <w:left w:val="nil"/>
          <w:bottom w:val="nil"/>
          <w:right w:val="nil"/>
          <w:between w:val="nil"/>
        </w:pBdr>
        <w:spacing w:line="252" w:lineRule="auto"/>
        <w:jc w:val="both"/>
      </w:pPr>
      <w:r>
        <w:rPr>
          <w:color w:val="000000"/>
        </w:rPr>
        <w:t>Book and manage traditional media placements including TV, radio, print, outdoor, digital out-of-home, cinema and other offline media, ensuring approved schedules, insertion orders and placement confirmations are properly documented.</w:t>
      </w:r>
    </w:p>
    <w:p w14:paraId="4711659C" w14:textId="77777777" w:rsidR="00BA0730" w:rsidRDefault="00000000">
      <w:pPr>
        <w:numPr>
          <w:ilvl w:val="0"/>
          <w:numId w:val="1"/>
        </w:numPr>
        <w:pBdr>
          <w:top w:val="nil"/>
          <w:left w:val="nil"/>
          <w:bottom w:val="nil"/>
          <w:right w:val="nil"/>
          <w:between w:val="nil"/>
        </w:pBdr>
        <w:spacing w:line="252" w:lineRule="auto"/>
        <w:jc w:val="both"/>
      </w:pPr>
      <w:r>
        <w:rPr>
          <w:color w:val="000000"/>
        </w:rPr>
        <w:t>Set up, monitor and optimize digital media campaigns across relevant platforms, including budget pacing, targeting, creative trafficking, tagging, optimization, frequency control and performance reporting.</w:t>
      </w:r>
    </w:p>
    <w:p w14:paraId="0173DEC7" w14:textId="77777777" w:rsidR="00BA0730" w:rsidRDefault="00000000">
      <w:pPr>
        <w:numPr>
          <w:ilvl w:val="0"/>
          <w:numId w:val="1"/>
        </w:numPr>
        <w:pBdr>
          <w:top w:val="nil"/>
          <w:left w:val="nil"/>
          <w:bottom w:val="nil"/>
          <w:right w:val="nil"/>
          <w:between w:val="nil"/>
        </w:pBdr>
        <w:spacing w:line="252" w:lineRule="auto"/>
        <w:jc w:val="both"/>
      </w:pPr>
      <w:r>
        <w:rPr>
          <w:color w:val="000000"/>
        </w:rPr>
        <w:t>Coordinate with Creative, Digital, PR, Client Service and Data Analytics teams to ensure briefs, assets, tracking links, campaign timelines, approvals and reporting inputs are complete before media goes live.</w:t>
      </w:r>
    </w:p>
    <w:p w14:paraId="5536283F" w14:textId="77777777" w:rsidR="00BA0730" w:rsidRDefault="00000000">
      <w:pPr>
        <w:numPr>
          <w:ilvl w:val="0"/>
          <w:numId w:val="1"/>
        </w:numPr>
        <w:pBdr>
          <w:top w:val="nil"/>
          <w:left w:val="nil"/>
          <w:bottom w:val="nil"/>
          <w:right w:val="nil"/>
          <w:between w:val="nil"/>
        </w:pBdr>
        <w:spacing w:line="252" w:lineRule="auto"/>
        <w:jc w:val="both"/>
      </w:pPr>
      <w:r>
        <w:rPr>
          <w:color w:val="000000"/>
        </w:rPr>
        <w:t>Maintain media supplier records, rate cards, placement records, campaign files, proof of performance and reconciliations between approved plans, booked media and actual delivery.</w:t>
      </w:r>
    </w:p>
    <w:p w14:paraId="19B2DC52" w14:textId="77777777" w:rsidR="00BA0730" w:rsidRDefault="00000000">
      <w:pPr>
        <w:numPr>
          <w:ilvl w:val="0"/>
          <w:numId w:val="1"/>
        </w:numPr>
        <w:pBdr>
          <w:top w:val="nil"/>
          <w:left w:val="nil"/>
          <w:bottom w:val="nil"/>
          <w:right w:val="nil"/>
          <w:between w:val="nil"/>
        </w:pBdr>
        <w:spacing w:line="252" w:lineRule="auto"/>
        <w:jc w:val="both"/>
      </w:pPr>
      <w:r>
        <w:rPr>
          <w:color w:val="000000"/>
        </w:rPr>
        <w:t>Track live campaign performance and recommend practical optimizations to improve reach, engagement, conversion, cost efficiency, brand safety and client results.</w:t>
      </w:r>
    </w:p>
    <w:p w14:paraId="7DBAF626" w14:textId="77777777" w:rsidR="00BA0730" w:rsidRDefault="00000000">
      <w:pPr>
        <w:numPr>
          <w:ilvl w:val="0"/>
          <w:numId w:val="1"/>
        </w:numPr>
        <w:pBdr>
          <w:top w:val="nil"/>
          <w:left w:val="nil"/>
          <w:bottom w:val="nil"/>
          <w:right w:val="nil"/>
          <w:between w:val="nil"/>
        </w:pBdr>
        <w:spacing w:line="252" w:lineRule="auto"/>
        <w:jc w:val="both"/>
      </w:pPr>
      <w:r>
        <w:rPr>
          <w:color w:val="000000"/>
        </w:rPr>
        <w:t>Ensure supplier documentation, client approvals, POs, invoices, third-party cost schedules, proof of placement and internal workflow requirements are complete before commitments or payments are processed.</w:t>
      </w:r>
    </w:p>
    <w:p w14:paraId="08821122" w14:textId="77777777" w:rsidR="00BA0730" w:rsidRDefault="00000000">
      <w:pPr>
        <w:numPr>
          <w:ilvl w:val="0"/>
          <w:numId w:val="1"/>
        </w:numPr>
        <w:pBdr>
          <w:top w:val="nil"/>
          <w:left w:val="nil"/>
          <w:bottom w:val="nil"/>
          <w:right w:val="nil"/>
          <w:between w:val="nil"/>
        </w:pBdr>
        <w:spacing w:after="40" w:line="252" w:lineRule="auto"/>
        <w:jc w:val="both"/>
      </w:pPr>
      <w:r>
        <w:rPr>
          <w:color w:val="000000"/>
        </w:rPr>
        <w:t>Develop post-campaign reports with performance insights, learnings, media efficiency analysis, optimization recommendations and implications for future planning.</w:t>
      </w:r>
    </w:p>
    <w:p w14:paraId="00D80C9D" w14:textId="77777777" w:rsidR="00BA0730" w:rsidRDefault="00000000">
      <w:pPr>
        <w:pStyle w:val="Heading2"/>
        <w:spacing w:before="80" w:after="80"/>
        <w:rPr>
          <w:sz w:val="22"/>
          <w:szCs w:val="22"/>
        </w:rPr>
      </w:pPr>
      <w:bookmarkStart w:id="3" w:name="_heading=h.sekif7lhc8s3" w:colFirst="0" w:colLast="0"/>
      <w:bookmarkEnd w:id="3"/>
      <w:r>
        <w:rPr>
          <w:b/>
          <w:bCs/>
          <w:color w:val="005F82"/>
          <w:sz w:val="22"/>
          <w:szCs w:val="22"/>
        </w:rPr>
        <w:lastRenderedPageBreak/>
        <w:t>KPIs</w:t>
      </w:r>
    </w:p>
    <w:tbl>
      <w:tblPr>
        <w:tblStyle w:val="a4"/>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94"/>
        <w:gridCol w:w="2798"/>
        <w:gridCol w:w="3449"/>
        <w:gridCol w:w="909"/>
      </w:tblGrid>
      <w:tr w:rsidR="00BA0730" w14:paraId="223AFD80" w14:textId="77777777">
        <w:trPr>
          <w:tblHeader/>
          <w:jc w:val="center"/>
        </w:trPr>
        <w:tc>
          <w:tcPr>
            <w:tcW w:w="2194" w:type="dxa"/>
            <w:shd w:val="clear" w:color="auto" w:fill="005F82"/>
            <w:vAlign w:val="center"/>
          </w:tcPr>
          <w:p w14:paraId="7B688C8B" w14:textId="77777777" w:rsidR="00BA0730" w:rsidRDefault="00000000">
            <w:pPr>
              <w:jc w:val="center"/>
              <w:rPr>
                <w:rFonts w:ascii="Arial" w:eastAsia="Arial" w:hAnsi="Arial" w:cs="Arial"/>
              </w:rPr>
            </w:pPr>
            <w:r>
              <w:rPr>
                <w:rFonts w:ascii="Arial" w:eastAsia="Arial" w:hAnsi="Arial" w:cs="Arial"/>
                <w:b/>
                <w:bCs/>
                <w:color w:val="FFFFFF"/>
              </w:rPr>
              <w:t>KPI</w:t>
            </w:r>
          </w:p>
        </w:tc>
        <w:tc>
          <w:tcPr>
            <w:tcW w:w="2798" w:type="dxa"/>
            <w:shd w:val="clear" w:color="auto" w:fill="005F82"/>
            <w:vAlign w:val="center"/>
          </w:tcPr>
          <w:p w14:paraId="74E4A276" w14:textId="77777777" w:rsidR="00BA0730" w:rsidRDefault="00000000">
            <w:pPr>
              <w:jc w:val="center"/>
              <w:rPr>
                <w:rFonts w:ascii="Arial" w:eastAsia="Arial" w:hAnsi="Arial" w:cs="Arial"/>
              </w:rPr>
            </w:pPr>
            <w:r>
              <w:rPr>
                <w:rFonts w:ascii="Arial" w:eastAsia="Arial" w:hAnsi="Arial" w:cs="Arial"/>
                <w:b/>
                <w:bCs/>
                <w:color w:val="FFFFFF"/>
              </w:rPr>
              <w:t>What to Measure</w:t>
            </w:r>
          </w:p>
        </w:tc>
        <w:tc>
          <w:tcPr>
            <w:tcW w:w="3449" w:type="dxa"/>
            <w:shd w:val="clear" w:color="auto" w:fill="005F82"/>
            <w:vAlign w:val="center"/>
          </w:tcPr>
          <w:p w14:paraId="023978E4" w14:textId="77777777" w:rsidR="00BA0730" w:rsidRDefault="00000000">
            <w:pPr>
              <w:jc w:val="center"/>
              <w:rPr>
                <w:rFonts w:ascii="Arial" w:eastAsia="Arial" w:hAnsi="Arial" w:cs="Arial"/>
              </w:rPr>
            </w:pPr>
            <w:r>
              <w:rPr>
                <w:rFonts w:ascii="Arial" w:eastAsia="Arial" w:hAnsi="Arial" w:cs="Arial"/>
                <w:b/>
                <w:bCs/>
                <w:color w:val="FFFFFF"/>
              </w:rPr>
              <w:t>How to Measure</w:t>
            </w:r>
          </w:p>
        </w:tc>
        <w:tc>
          <w:tcPr>
            <w:tcW w:w="909" w:type="dxa"/>
            <w:shd w:val="clear" w:color="auto" w:fill="005F82"/>
            <w:vAlign w:val="center"/>
          </w:tcPr>
          <w:p w14:paraId="71DF6538" w14:textId="77777777" w:rsidR="00BA0730" w:rsidRDefault="00000000">
            <w:pPr>
              <w:jc w:val="center"/>
              <w:rPr>
                <w:rFonts w:ascii="Arial" w:eastAsia="Arial" w:hAnsi="Arial" w:cs="Arial"/>
              </w:rPr>
            </w:pPr>
            <w:r>
              <w:rPr>
                <w:rFonts w:ascii="Arial" w:eastAsia="Arial" w:hAnsi="Arial" w:cs="Arial"/>
                <w:b/>
                <w:bCs/>
                <w:color w:val="FFFFFF"/>
              </w:rPr>
              <w:t>Weight</w:t>
            </w:r>
          </w:p>
        </w:tc>
      </w:tr>
      <w:tr w:rsidR="00BA0730" w14:paraId="5452F04C" w14:textId="77777777">
        <w:trPr>
          <w:jc w:val="center"/>
        </w:trPr>
        <w:tc>
          <w:tcPr>
            <w:tcW w:w="2194" w:type="dxa"/>
          </w:tcPr>
          <w:p w14:paraId="4C1BCE1F" w14:textId="77777777" w:rsidR="00BA0730" w:rsidRDefault="00000000">
            <w:pPr>
              <w:rPr>
                <w:rFonts w:ascii="Arial" w:eastAsia="Arial" w:hAnsi="Arial" w:cs="Arial"/>
              </w:rPr>
            </w:pPr>
            <w:r>
              <w:rPr>
                <w:rFonts w:ascii="Arial" w:eastAsia="Arial" w:hAnsi="Arial" w:cs="Arial"/>
              </w:rPr>
              <w:t>Media strategy and planning quality</w:t>
            </w:r>
          </w:p>
        </w:tc>
        <w:tc>
          <w:tcPr>
            <w:tcW w:w="2798" w:type="dxa"/>
          </w:tcPr>
          <w:p w14:paraId="61BF650F" w14:textId="77777777" w:rsidR="00BA0730" w:rsidRDefault="00000000">
            <w:pPr>
              <w:rPr>
                <w:rFonts w:ascii="Arial" w:eastAsia="Arial" w:hAnsi="Arial" w:cs="Arial"/>
              </w:rPr>
            </w:pPr>
            <w:r>
              <w:rPr>
                <w:rFonts w:ascii="Arial" w:eastAsia="Arial" w:hAnsi="Arial" w:cs="Arial"/>
              </w:rPr>
              <w:t>Quality of media plans, audience rationale, channel selection, phasing, budget allocation and alignment to client objectives.</w:t>
            </w:r>
          </w:p>
        </w:tc>
        <w:tc>
          <w:tcPr>
            <w:tcW w:w="3449" w:type="dxa"/>
          </w:tcPr>
          <w:p w14:paraId="0694DC93" w14:textId="77777777" w:rsidR="00BA0730" w:rsidRDefault="00000000">
            <w:pPr>
              <w:rPr>
                <w:rFonts w:ascii="Arial" w:eastAsia="Arial" w:hAnsi="Arial" w:cs="Arial"/>
              </w:rPr>
            </w:pPr>
            <w:r>
              <w:rPr>
                <w:rFonts w:ascii="Arial" w:eastAsia="Arial" w:hAnsi="Arial" w:cs="Arial"/>
              </w:rPr>
              <w:t xml:space="preserve">Plan review score; approval rate; number of </w:t>
            </w:r>
            <w:proofErr w:type="spellStart"/>
            <w:r>
              <w:rPr>
                <w:rFonts w:ascii="Arial" w:eastAsia="Arial" w:hAnsi="Arial" w:cs="Arial"/>
              </w:rPr>
              <w:t>rebriefs</w:t>
            </w:r>
            <w:proofErr w:type="spellEnd"/>
            <w:r>
              <w:rPr>
                <w:rFonts w:ascii="Arial" w:eastAsia="Arial" w:hAnsi="Arial" w:cs="Arial"/>
              </w:rPr>
              <w:t>; documented planning rationale and BU Head/client feedback.</w:t>
            </w:r>
          </w:p>
        </w:tc>
        <w:tc>
          <w:tcPr>
            <w:tcW w:w="909" w:type="dxa"/>
          </w:tcPr>
          <w:p w14:paraId="17DEAB00" w14:textId="77777777" w:rsidR="00BA0730" w:rsidRDefault="00000000">
            <w:pPr>
              <w:jc w:val="center"/>
              <w:rPr>
                <w:rFonts w:ascii="Arial" w:eastAsia="Arial" w:hAnsi="Arial" w:cs="Arial"/>
              </w:rPr>
            </w:pPr>
            <w:r>
              <w:rPr>
                <w:rFonts w:ascii="Arial" w:eastAsia="Arial" w:hAnsi="Arial" w:cs="Arial"/>
              </w:rPr>
              <w:t>15%</w:t>
            </w:r>
          </w:p>
        </w:tc>
      </w:tr>
      <w:tr w:rsidR="00BA0730" w14:paraId="58826CB6" w14:textId="77777777">
        <w:trPr>
          <w:jc w:val="center"/>
        </w:trPr>
        <w:tc>
          <w:tcPr>
            <w:tcW w:w="2194" w:type="dxa"/>
          </w:tcPr>
          <w:p w14:paraId="0CD97086" w14:textId="77777777" w:rsidR="00BA0730" w:rsidRDefault="00000000">
            <w:pPr>
              <w:rPr>
                <w:rFonts w:ascii="Arial" w:eastAsia="Arial" w:hAnsi="Arial" w:cs="Arial"/>
              </w:rPr>
            </w:pPr>
            <w:r>
              <w:rPr>
                <w:rFonts w:ascii="Arial" w:eastAsia="Arial" w:hAnsi="Arial" w:cs="Arial"/>
              </w:rPr>
              <w:t>Buying efficiency and value creation</w:t>
            </w:r>
          </w:p>
        </w:tc>
        <w:tc>
          <w:tcPr>
            <w:tcW w:w="2798" w:type="dxa"/>
          </w:tcPr>
          <w:p w14:paraId="0CBE8126" w14:textId="77777777" w:rsidR="00BA0730" w:rsidRDefault="00000000">
            <w:pPr>
              <w:rPr>
                <w:rFonts w:ascii="Arial" w:eastAsia="Arial" w:hAnsi="Arial" w:cs="Arial"/>
              </w:rPr>
            </w:pPr>
            <w:r>
              <w:rPr>
                <w:rFonts w:ascii="Arial" w:eastAsia="Arial" w:hAnsi="Arial" w:cs="Arial"/>
              </w:rPr>
              <w:t>Rate savings, negotiated value-adds, bonus inventory, supplier terms and cost efficiency achieved without compromising quality.</w:t>
            </w:r>
          </w:p>
        </w:tc>
        <w:tc>
          <w:tcPr>
            <w:tcW w:w="3449" w:type="dxa"/>
          </w:tcPr>
          <w:p w14:paraId="036D58B0" w14:textId="77777777" w:rsidR="00BA0730" w:rsidRDefault="00000000">
            <w:pPr>
              <w:rPr>
                <w:rFonts w:ascii="Arial" w:eastAsia="Arial" w:hAnsi="Arial" w:cs="Arial"/>
              </w:rPr>
            </w:pPr>
            <w:r>
              <w:rPr>
                <w:rFonts w:ascii="Arial" w:eastAsia="Arial" w:hAnsi="Arial" w:cs="Arial"/>
              </w:rPr>
              <w:t>Savings tracker; value-add log; CPM/CPC/CPV/CPP benchmarks; rate card comparisons and supplier negotiation records.</w:t>
            </w:r>
          </w:p>
        </w:tc>
        <w:tc>
          <w:tcPr>
            <w:tcW w:w="909" w:type="dxa"/>
          </w:tcPr>
          <w:p w14:paraId="14F00F2A" w14:textId="77777777" w:rsidR="00BA0730" w:rsidRDefault="00000000">
            <w:pPr>
              <w:jc w:val="center"/>
              <w:rPr>
                <w:rFonts w:ascii="Arial" w:eastAsia="Arial" w:hAnsi="Arial" w:cs="Arial"/>
              </w:rPr>
            </w:pPr>
            <w:r>
              <w:rPr>
                <w:rFonts w:ascii="Arial" w:eastAsia="Arial" w:hAnsi="Arial" w:cs="Arial"/>
              </w:rPr>
              <w:t>15%</w:t>
            </w:r>
          </w:p>
        </w:tc>
      </w:tr>
      <w:tr w:rsidR="00BA0730" w14:paraId="30A9CD52" w14:textId="77777777">
        <w:trPr>
          <w:jc w:val="center"/>
        </w:trPr>
        <w:tc>
          <w:tcPr>
            <w:tcW w:w="2194" w:type="dxa"/>
          </w:tcPr>
          <w:p w14:paraId="1E9173A3" w14:textId="77777777" w:rsidR="00BA0730" w:rsidRDefault="00000000">
            <w:pPr>
              <w:rPr>
                <w:rFonts w:ascii="Arial" w:eastAsia="Arial" w:hAnsi="Arial" w:cs="Arial"/>
              </w:rPr>
            </w:pPr>
            <w:r>
              <w:rPr>
                <w:rFonts w:ascii="Arial" w:eastAsia="Arial" w:hAnsi="Arial" w:cs="Arial"/>
              </w:rPr>
              <w:t>Campaign performance against KPIs</w:t>
            </w:r>
          </w:p>
        </w:tc>
        <w:tc>
          <w:tcPr>
            <w:tcW w:w="2798" w:type="dxa"/>
          </w:tcPr>
          <w:p w14:paraId="4D0DEECF" w14:textId="77777777" w:rsidR="00BA0730" w:rsidRDefault="00000000">
            <w:pPr>
              <w:rPr>
                <w:rFonts w:ascii="Arial" w:eastAsia="Arial" w:hAnsi="Arial" w:cs="Arial"/>
              </w:rPr>
            </w:pPr>
            <w:r>
              <w:rPr>
                <w:rFonts w:ascii="Arial" w:eastAsia="Arial" w:hAnsi="Arial" w:cs="Arial"/>
              </w:rPr>
              <w:t>Achievement of agreed media KPIs across digital and traditional campaigns, including reach, frequency, engagement, traffic, leads, conversions, awareness proxies or other approved objectives.</w:t>
            </w:r>
          </w:p>
        </w:tc>
        <w:tc>
          <w:tcPr>
            <w:tcW w:w="3449" w:type="dxa"/>
          </w:tcPr>
          <w:p w14:paraId="2A8F56B0" w14:textId="77777777" w:rsidR="00BA0730" w:rsidRDefault="00000000">
            <w:pPr>
              <w:rPr>
                <w:rFonts w:ascii="Arial" w:eastAsia="Arial" w:hAnsi="Arial" w:cs="Arial"/>
              </w:rPr>
            </w:pPr>
            <w:r>
              <w:rPr>
                <w:rFonts w:ascii="Arial" w:eastAsia="Arial" w:hAnsi="Arial" w:cs="Arial"/>
              </w:rPr>
              <w:t>Platform reports, third-party reports, post-campaign analysis, KPI scorecard and variance explanations.</w:t>
            </w:r>
          </w:p>
        </w:tc>
        <w:tc>
          <w:tcPr>
            <w:tcW w:w="909" w:type="dxa"/>
          </w:tcPr>
          <w:p w14:paraId="57FD6F75" w14:textId="77777777" w:rsidR="00BA0730" w:rsidRDefault="00000000">
            <w:pPr>
              <w:jc w:val="center"/>
              <w:rPr>
                <w:rFonts w:ascii="Arial" w:eastAsia="Arial" w:hAnsi="Arial" w:cs="Arial"/>
              </w:rPr>
            </w:pPr>
            <w:r>
              <w:rPr>
                <w:rFonts w:ascii="Arial" w:eastAsia="Arial" w:hAnsi="Arial" w:cs="Arial"/>
              </w:rPr>
              <w:t>20%</w:t>
            </w:r>
          </w:p>
        </w:tc>
      </w:tr>
      <w:tr w:rsidR="00BA0730" w14:paraId="138F836E" w14:textId="77777777">
        <w:trPr>
          <w:jc w:val="center"/>
        </w:trPr>
        <w:tc>
          <w:tcPr>
            <w:tcW w:w="2194" w:type="dxa"/>
          </w:tcPr>
          <w:p w14:paraId="7D369941" w14:textId="77777777" w:rsidR="00BA0730" w:rsidRDefault="00000000">
            <w:pPr>
              <w:rPr>
                <w:rFonts w:ascii="Arial" w:eastAsia="Arial" w:hAnsi="Arial" w:cs="Arial"/>
              </w:rPr>
            </w:pPr>
            <w:r>
              <w:rPr>
                <w:rFonts w:ascii="Arial" w:eastAsia="Arial" w:hAnsi="Arial" w:cs="Arial"/>
              </w:rPr>
              <w:t>Budget pacing, profitability and cost control</w:t>
            </w:r>
          </w:p>
        </w:tc>
        <w:tc>
          <w:tcPr>
            <w:tcW w:w="2798" w:type="dxa"/>
          </w:tcPr>
          <w:p w14:paraId="32A243FB" w14:textId="77777777" w:rsidR="00BA0730" w:rsidRDefault="00000000">
            <w:pPr>
              <w:rPr>
                <w:rFonts w:ascii="Arial" w:eastAsia="Arial" w:hAnsi="Arial" w:cs="Arial"/>
              </w:rPr>
            </w:pPr>
            <w:r>
              <w:rPr>
                <w:rFonts w:ascii="Arial" w:eastAsia="Arial" w:hAnsi="Arial" w:cs="Arial"/>
              </w:rPr>
              <w:t>Accurate budget management, media spend pacing, margin protection, PO compliance and prevention of unapproved spend.</w:t>
            </w:r>
          </w:p>
        </w:tc>
        <w:tc>
          <w:tcPr>
            <w:tcW w:w="3449" w:type="dxa"/>
          </w:tcPr>
          <w:p w14:paraId="1616C748" w14:textId="77777777" w:rsidR="00BA0730" w:rsidRDefault="00000000">
            <w:pPr>
              <w:rPr>
                <w:rFonts w:ascii="Arial" w:eastAsia="Arial" w:hAnsi="Arial" w:cs="Arial"/>
              </w:rPr>
            </w:pPr>
            <w:r>
              <w:rPr>
                <w:rFonts w:ascii="Arial" w:eastAsia="Arial" w:hAnsi="Arial" w:cs="Arial"/>
              </w:rPr>
              <w:t>Budget tracker, weekly pacing report, approved media plan vs actual spends, margin review and finance reconciliation.</w:t>
            </w:r>
          </w:p>
        </w:tc>
        <w:tc>
          <w:tcPr>
            <w:tcW w:w="909" w:type="dxa"/>
          </w:tcPr>
          <w:p w14:paraId="02E7D97F" w14:textId="77777777" w:rsidR="00BA0730" w:rsidRDefault="00000000">
            <w:pPr>
              <w:jc w:val="center"/>
              <w:rPr>
                <w:rFonts w:ascii="Arial" w:eastAsia="Arial" w:hAnsi="Arial" w:cs="Arial"/>
              </w:rPr>
            </w:pPr>
            <w:r>
              <w:rPr>
                <w:rFonts w:ascii="Arial" w:eastAsia="Arial" w:hAnsi="Arial" w:cs="Arial"/>
              </w:rPr>
              <w:t>15%</w:t>
            </w:r>
          </w:p>
        </w:tc>
      </w:tr>
      <w:tr w:rsidR="00BA0730" w14:paraId="3D645112" w14:textId="77777777">
        <w:trPr>
          <w:jc w:val="center"/>
        </w:trPr>
        <w:tc>
          <w:tcPr>
            <w:tcW w:w="2194" w:type="dxa"/>
          </w:tcPr>
          <w:p w14:paraId="03B1BF7A" w14:textId="77777777" w:rsidR="00BA0730" w:rsidRDefault="00000000">
            <w:pPr>
              <w:rPr>
                <w:rFonts w:ascii="Arial" w:eastAsia="Arial" w:hAnsi="Arial" w:cs="Arial"/>
              </w:rPr>
            </w:pPr>
            <w:r>
              <w:rPr>
                <w:rFonts w:ascii="Arial" w:eastAsia="Arial" w:hAnsi="Arial" w:cs="Arial"/>
              </w:rPr>
              <w:t>Placement accuracy and proof of performance</w:t>
            </w:r>
          </w:p>
        </w:tc>
        <w:tc>
          <w:tcPr>
            <w:tcW w:w="2798" w:type="dxa"/>
          </w:tcPr>
          <w:p w14:paraId="550B4B63" w14:textId="77777777" w:rsidR="00BA0730" w:rsidRDefault="00000000">
            <w:pPr>
              <w:rPr>
                <w:rFonts w:ascii="Arial" w:eastAsia="Arial" w:hAnsi="Arial" w:cs="Arial"/>
              </w:rPr>
            </w:pPr>
            <w:r>
              <w:rPr>
                <w:rFonts w:ascii="Arial" w:eastAsia="Arial" w:hAnsi="Arial" w:cs="Arial"/>
              </w:rPr>
              <w:t>Accuracy of booked placements, flight dates, asset trafficking, publication/airing, screenshots, logs, tear sheets and supplier confirmations.</w:t>
            </w:r>
          </w:p>
        </w:tc>
        <w:tc>
          <w:tcPr>
            <w:tcW w:w="3449" w:type="dxa"/>
          </w:tcPr>
          <w:p w14:paraId="2D580B47" w14:textId="77777777" w:rsidR="00BA0730" w:rsidRDefault="00000000">
            <w:pPr>
              <w:rPr>
                <w:rFonts w:ascii="Arial" w:eastAsia="Arial" w:hAnsi="Arial" w:cs="Arial"/>
              </w:rPr>
            </w:pPr>
            <w:r>
              <w:rPr>
                <w:rFonts w:ascii="Arial" w:eastAsia="Arial" w:hAnsi="Arial" w:cs="Arial"/>
              </w:rPr>
              <w:t>Proof-of-performance file, placement audit, missed-placement log, discrepancy resolution and make-good tracking.</w:t>
            </w:r>
          </w:p>
        </w:tc>
        <w:tc>
          <w:tcPr>
            <w:tcW w:w="909" w:type="dxa"/>
          </w:tcPr>
          <w:p w14:paraId="25B5755E" w14:textId="77777777" w:rsidR="00BA0730" w:rsidRDefault="00000000">
            <w:pPr>
              <w:jc w:val="center"/>
              <w:rPr>
                <w:rFonts w:ascii="Arial" w:eastAsia="Arial" w:hAnsi="Arial" w:cs="Arial"/>
              </w:rPr>
            </w:pPr>
            <w:r>
              <w:rPr>
                <w:rFonts w:ascii="Arial" w:eastAsia="Arial" w:hAnsi="Arial" w:cs="Arial"/>
              </w:rPr>
              <w:t>15%</w:t>
            </w:r>
          </w:p>
        </w:tc>
      </w:tr>
      <w:tr w:rsidR="00BA0730" w14:paraId="0522C4D4" w14:textId="77777777">
        <w:trPr>
          <w:jc w:val="center"/>
        </w:trPr>
        <w:tc>
          <w:tcPr>
            <w:tcW w:w="2194" w:type="dxa"/>
          </w:tcPr>
          <w:p w14:paraId="4C86E2AD" w14:textId="77777777" w:rsidR="00BA0730" w:rsidRDefault="00000000">
            <w:pPr>
              <w:rPr>
                <w:rFonts w:ascii="Arial" w:eastAsia="Arial" w:hAnsi="Arial" w:cs="Arial"/>
              </w:rPr>
            </w:pPr>
            <w:r>
              <w:rPr>
                <w:rFonts w:ascii="Arial" w:eastAsia="Arial" w:hAnsi="Arial" w:cs="Arial"/>
              </w:rPr>
              <w:t>Reporting quality and insight</w:t>
            </w:r>
          </w:p>
        </w:tc>
        <w:tc>
          <w:tcPr>
            <w:tcW w:w="2798" w:type="dxa"/>
          </w:tcPr>
          <w:p w14:paraId="6DB2D718" w14:textId="77777777" w:rsidR="00BA0730" w:rsidRDefault="00000000">
            <w:pPr>
              <w:rPr>
                <w:rFonts w:ascii="Arial" w:eastAsia="Arial" w:hAnsi="Arial" w:cs="Arial"/>
              </w:rPr>
            </w:pPr>
            <w:r>
              <w:rPr>
                <w:rFonts w:ascii="Arial" w:eastAsia="Arial" w:hAnsi="Arial" w:cs="Arial"/>
              </w:rPr>
              <w:t>Timely, accurate and decision-useful media reporting that explains what happened, why it happened and what should change next.</w:t>
            </w:r>
          </w:p>
        </w:tc>
        <w:tc>
          <w:tcPr>
            <w:tcW w:w="3449" w:type="dxa"/>
          </w:tcPr>
          <w:p w14:paraId="00F2A22B" w14:textId="77777777" w:rsidR="00BA0730" w:rsidRDefault="00000000">
            <w:pPr>
              <w:rPr>
                <w:rFonts w:ascii="Arial" w:eastAsia="Arial" w:hAnsi="Arial" w:cs="Arial"/>
              </w:rPr>
            </w:pPr>
            <w:r>
              <w:rPr>
                <w:rFonts w:ascii="Arial" w:eastAsia="Arial" w:hAnsi="Arial" w:cs="Arial"/>
              </w:rPr>
              <w:t>Report SLA compliance, QA review, client feedback, insight quality and actionability of recommendations.</w:t>
            </w:r>
          </w:p>
        </w:tc>
        <w:tc>
          <w:tcPr>
            <w:tcW w:w="909" w:type="dxa"/>
          </w:tcPr>
          <w:p w14:paraId="7743F534" w14:textId="77777777" w:rsidR="00BA0730" w:rsidRDefault="00000000">
            <w:pPr>
              <w:jc w:val="center"/>
              <w:rPr>
                <w:rFonts w:ascii="Arial" w:eastAsia="Arial" w:hAnsi="Arial" w:cs="Arial"/>
              </w:rPr>
            </w:pPr>
            <w:r>
              <w:rPr>
                <w:rFonts w:ascii="Arial" w:eastAsia="Arial" w:hAnsi="Arial" w:cs="Arial"/>
              </w:rPr>
              <w:t>10%</w:t>
            </w:r>
          </w:p>
        </w:tc>
      </w:tr>
      <w:tr w:rsidR="00BA0730" w14:paraId="0AC6BC21" w14:textId="77777777">
        <w:trPr>
          <w:jc w:val="center"/>
        </w:trPr>
        <w:tc>
          <w:tcPr>
            <w:tcW w:w="2194" w:type="dxa"/>
          </w:tcPr>
          <w:p w14:paraId="21E5BE7A" w14:textId="77777777" w:rsidR="00BA0730" w:rsidRDefault="00000000">
            <w:pPr>
              <w:rPr>
                <w:rFonts w:ascii="Arial" w:eastAsia="Arial" w:hAnsi="Arial" w:cs="Arial"/>
              </w:rPr>
            </w:pPr>
            <w:r>
              <w:rPr>
                <w:rFonts w:ascii="Arial" w:eastAsia="Arial" w:hAnsi="Arial" w:cs="Arial"/>
              </w:rPr>
              <w:lastRenderedPageBreak/>
              <w:t>Supplier and internal process compliance</w:t>
            </w:r>
          </w:p>
        </w:tc>
        <w:tc>
          <w:tcPr>
            <w:tcW w:w="2798" w:type="dxa"/>
          </w:tcPr>
          <w:p w14:paraId="05C91069" w14:textId="77777777" w:rsidR="00BA0730" w:rsidRDefault="00000000">
            <w:pPr>
              <w:rPr>
                <w:rFonts w:ascii="Arial" w:eastAsia="Arial" w:hAnsi="Arial" w:cs="Arial"/>
              </w:rPr>
            </w:pPr>
            <w:r>
              <w:rPr>
                <w:rFonts w:ascii="Arial" w:eastAsia="Arial" w:hAnsi="Arial" w:cs="Arial"/>
              </w:rPr>
              <w:t>Effective supplier management, documentation discipline, cross-team collaboration and adherence to TDM status sheets, RACI, approvals and escalation protocols.</w:t>
            </w:r>
          </w:p>
        </w:tc>
        <w:tc>
          <w:tcPr>
            <w:tcW w:w="3449" w:type="dxa"/>
          </w:tcPr>
          <w:p w14:paraId="0D874791" w14:textId="77777777" w:rsidR="00BA0730" w:rsidRDefault="00000000">
            <w:pPr>
              <w:rPr>
                <w:rFonts w:ascii="Arial" w:eastAsia="Arial" w:hAnsi="Arial" w:cs="Arial"/>
              </w:rPr>
            </w:pPr>
            <w:r>
              <w:rPr>
                <w:rFonts w:ascii="Arial" w:eastAsia="Arial" w:hAnsi="Arial" w:cs="Arial"/>
              </w:rPr>
              <w:t>Supplier file completeness, internal SLA compliance, issue log, status sheet accuracy and peer/BU Head feedback.</w:t>
            </w:r>
          </w:p>
        </w:tc>
        <w:tc>
          <w:tcPr>
            <w:tcW w:w="909" w:type="dxa"/>
          </w:tcPr>
          <w:p w14:paraId="19D13ABA" w14:textId="77777777" w:rsidR="00BA0730" w:rsidRDefault="00000000">
            <w:pPr>
              <w:jc w:val="center"/>
              <w:rPr>
                <w:rFonts w:ascii="Arial" w:eastAsia="Arial" w:hAnsi="Arial" w:cs="Arial"/>
              </w:rPr>
            </w:pPr>
            <w:r>
              <w:rPr>
                <w:rFonts w:ascii="Arial" w:eastAsia="Arial" w:hAnsi="Arial" w:cs="Arial"/>
              </w:rPr>
              <w:t>10%</w:t>
            </w:r>
          </w:p>
        </w:tc>
      </w:tr>
    </w:tbl>
    <w:p w14:paraId="052BE734" w14:textId="77777777" w:rsidR="00BA0730" w:rsidRDefault="00BA0730">
      <w:pPr>
        <w:spacing w:after="40" w:line="259" w:lineRule="auto"/>
        <w:jc w:val="both"/>
      </w:pPr>
    </w:p>
    <w:p w14:paraId="005165A0" w14:textId="77777777" w:rsidR="00BA0730" w:rsidRDefault="00000000">
      <w:pPr>
        <w:pStyle w:val="Heading2"/>
        <w:spacing w:before="80" w:after="80"/>
        <w:rPr>
          <w:sz w:val="22"/>
          <w:szCs w:val="22"/>
        </w:rPr>
      </w:pPr>
      <w:bookmarkStart w:id="4" w:name="_heading=h.jcdnphhvbog7" w:colFirst="0" w:colLast="0"/>
      <w:bookmarkEnd w:id="4"/>
      <w:r>
        <w:rPr>
          <w:b/>
          <w:bCs/>
          <w:color w:val="005F82"/>
          <w:sz w:val="22"/>
          <w:szCs w:val="22"/>
        </w:rPr>
        <w:t>Skills, Competencies and Qualifications</w:t>
      </w:r>
    </w:p>
    <w:tbl>
      <w:tblPr>
        <w:tblStyle w:val="a5"/>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31"/>
        <w:gridCol w:w="7219"/>
      </w:tblGrid>
      <w:tr w:rsidR="00BA0730" w14:paraId="0DA81EB0" w14:textId="77777777">
        <w:trPr>
          <w:tblHeader/>
          <w:jc w:val="center"/>
        </w:trPr>
        <w:tc>
          <w:tcPr>
            <w:tcW w:w="2131" w:type="dxa"/>
            <w:shd w:val="clear" w:color="auto" w:fill="005F82"/>
            <w:vAlign w:val="center"/>
          </w:tcPr>
          <w:p w14:paraId="4DB45349" w14:textId="77777777" w:rsidR="00BA0730" w:rsidRDefault="00000000">
            <w:pPr>
              <w:jc w:val="center"/>
              <w:rPr>
                <w:rFonts w:ascii="Arial" w:eastAsia="Arial" w:hAnsi="Arial" w:cs="Arial"/>
              </w:rPr>
            </w:pPr>
            <w:r>
              <w:rPr>
                <w:rFonts w:ascii="Arial" w:eastAsia="Arial" w:hAnsi="Arial" w:cs="Arial"/>
                <w:b/>
                <w:bCs/>
                <w:color w:val="FFFFFF"/>
              </w:rPr>
              <w:t>Area</w:t>
            </w:r>
          </w:p>
        </w:tc>
        <w:tc>
          <w:tcPr>
            <w:tcW w:w="7219" w:type="dxa"/>
            <w:shd w:val="clear" w:color="auto" w:fill="005F82"/>
            <w:vAlign w:val="center"/>
          </w:tcPr>
          <w:p w14:paraId="19EBFF26" w14:textId="77777777" w:rsidR="00BA0730" w:rsidRDefault="00000000">
            <w:pPr>
              <w:jc w:val="center"/>
              <w:rPr>
                <w:rFonts w:ascii="Arial" w:eastAsia="Arial" w:hAnsi="Arial" w:cs="Arial"/>
              </w:rPr>
            </w:pPr>
            <w:r>
              <w:rPr>
                <w:rFonts w:ascii="Arial" w:eastAsia="Arial" w:hAnsi="Arial" w:cs="Arial"/>
                <w:b/>
                <w:bCs/>
                <w:color w:val="FFFFFF"/>
              </w:rPr>
              <w:t>Requirement</w:t>
            </w:r>
          </w:p>
        </w:tc>
      </w:tr>
      <w:tr w:rsidR="00BA0730" w14:paraId="6E6751A2" w14:textId="77777777">
        <w:trPr>
          <w:jc w:val="center"/>
        </w:trPr>
        <w:tc>
          <w:tcPr>
            <w:tcW w:w="2131" w:type="dxa"/>
          </w:tcPr>
          <w:p w14:paraId="05ADFD2A" w14:textId="77777777" w:rsidR="00BA0730" w:rsidRDefault="00000000">
            <w:pPr>
              <w:rPr>
                <w:rFonts w:ascii="Arial" w:eastAsia="Arial" w:hAnsi="Arial" w:cs="Arial"/>
              </w:rPr>
            </w:pPr>
            <w:r>
              <w:rPr>
                <w:rFonts w:ascii="Arial" w:eastAsia="Arial" w:hAnsi="Arial" w:cs="Arial"/>
              </w:rPr>
              <w:t>Education and experience</w:t>
            </w:r>
          </w:p>
        </w:tc>
        <w:tc>
          <w:tcPr>
            <w:tcW w:w="7219" w:type="dxa"/>
          </w:tcPr>
          <w:p w14:paraId="7ED5E2B6" w14:textId="77777777" w:rsidR="00BA0730" w:rsidRDefault="00000000">
            <w:pPr>
              <w:rPr>
                <w:rFonts w:ascii="Arial" w:eastAsia="Arial" w:hAnsi="Arial" w:cs="Arial"/>
              </w:rPr>
            </w:pPr>
            <w:r>
              <w:rPr>
                <w:rFonts w:ascii="Arial" w:eastAsia="Arial" w:hAnsi="Arial" w:cs="Arial"/>
              </w:rPr>
              <w:t>Degree or diploma in Marketing, Media, Advertising, Communications, Business, Statistics or a related field. Recommended 4+ years' media planning/buying experience covering both digital and traditional media.</w:t>
            </w:r>
          </w:p>
        </w:tc>
      </w:tr>
      <w:tr w:rsidR="00BA0730" w14:paraId="64E40F38" w14:textId="77777777">
        <w:trPr>
          <w:jc w:val="center"/>
        </w:trPr>
        <w:tc>
          <w:tcPr>
            <w:tcW w:w="2131" w:type="dxa"/>
          </w:tcPr>
          <w:p w14:paraId="0CB394E3" w14:textId="77777777" w:rsidR="00BA0730" w:rsidRDefault="00000000">
            <w:pPr>
              <w:rPr>
                <w:rFonts w:ascii="Arial" w:eastAsia="Arial" w:hAnsi="Arial" w:cs="Arial"/>
              </w:rPr>
            </w:pPr>
            <w:r>
              <w:rPr>
                <w:rFonts w:ascii="Arial" w:eastAsia="Arial" w:hAnsi="Arial" w:cs="Arial"/>
              </w:rPr>
              <w:t>Digital media capability</w:t>
            </w:r>
          </w:p>
        </w:tc>
        <w:tc>
          <w:tcPr>
            <w:tcW w:w="7219" w:type="dxa"/>
          </w:tcPr>
          <w:p w14:paraId="606384A1" w14:textId="77777777" w:rsidR="00BA0730" w:rsidRDefault="00000000">
            <w:pPr>
              <w:rPr>
                <w:rFonts w:ascii="Arial" w:eastAsia="Arial" w:hAnsi="Arial" w:cs="Arial"/>
              </w:rPr>
            </w:pPr>
            <w:r>
              <w:rPr>
                <w:rFonts w:ascii="Arial" w:eastAsia="Arial" w:hAnsi="Arial" w:cs="Arial"/>
              </w:rPr>
              <w:t>Hands-on experience planning, setting up, optimizing and reporting paid campaigns across platforms such as Meta, Google, YouTube, TikTok, LinkedIn, programmatic/display and other relevant digital channels.</w:t>
            </w:r>
          </w:p>
        </w:tc>
      </w:tr>
      <w:tr w:rsidR="00BA0730" w14:paraId="67EC0C41" w14:textId="77777777">
        <w:trPr>
          <w:jc w:val="center"/>
        </w:trPr>
        <w:tc>
          <w:tcPr>
            <w:tcW w:w="2131" w:type="dxa"/>
          </w:tcPr>
          <w:p w14:paraId="1C28C56A" w14:textId="77777777" w:rsidR="00BA0730" w:rsidRDefault="00000000">
            <w:pPr>
              <w:rPr>
                <w:rFonts w:ascii="Arial" w:eastAsia="Arial" w:hAnsi="Arial" w:cs="Arial"/>
              </w:rPr>
            </w:pPr>
            <w:r>
              <w:rPr>
                <w:rFonts w:ascii="Arial" w:eastAsia="Arial" w:hAnsi="Arial" w:cs="Arial"/>
              </w:rPr>
              <w:t>Traditional media capability</w:t>
            </w:r>
          </w:p>
        </w:tc>
        <w:tc>
          <w:tcPr>
            <w:tcW w:w="7219" w:type="dxa"/>
          </w:tcPr>
          <w:p w14:paraId="632A46D4" w14:textId="77777777" w:rsidR="00BA0730" w:rsidRDefault="00000000">
            <w:pPr>
              <w:rPr>
                <w:rFonts w:ascii="Arial" w:eastAsia="Arial" w:hAnsi="Arial" w:cs="Arial"/>
              </w:rPr>
            </w:pPr>
            <w:r>
              <w:rPr>
                <w:rFonts w:ascii="Arial" w:eastAsia="Arial" w:hAnsi="Arial" w:cs="Arial"/>
              </w:rPr>
              <w:t>Strong understanding of TV, radio, print, outdoor, digital out-of-home, cinema and other offline media buying, including schedules, rate cards, insertion orders, proof of performance and make-good processes.</w:t>
            </w:r>
          </w:p>
        </w:tc>
      </w:tr>
      <w:tr w:rsidR="00BA0730" w14:paraId="09F31242" w14:textId="77777777">
        <w:trPr>
          <w:jc w:val="center"/>
        </w:trPr>
        <w:tc>
          <w:tcPr>
            <w:tcW w:w="2131" w:type="dxa"/>
          </w:tcPr>
          <w:p w14:paraId="659F0043" w14:textId="77777777" w:rsidR="00BA0730" w:rsidRDefault="00000000">
            <w:pPr>
              <w:rPr>
                <w:rFonts w:ascii="Arial" w:eastAsia="Arial" w:hAnsi="Arial" w:cs="Arial"/>
              </w:rPr>
            </w:pPr>
            <w:r>
              <w:rPr>
                <w:rFonts w:ascii="Arial" w:eastAsia="Arial" w:hAnsi="Arial" w:cs="Arial"/>
              </w:rPr>
              <w:t>Media math and analytics</w:t>
            </w:r>
          </w:p>
        </w:tc>
        <w:tc>
          <w:tcPr>
            <w:tcW w:w="7219" w:type="dxa"/>
          </w:tcPr>
          <w:p w14:paraId="1FDA04B3" w14:textId="77777777" w:rsidR="00BA0730" w:rsidRDefault="00000000">
            <w:pPr>
              <w:rPr>
                <w:rFonts w:ascii="Arial" w:eastAsia="Arial" w:hAnsi="Arial" w:cs="Arial"/>
              </w:rPr>
            </w:pPr>
            <w:r>
              <w:rPr>
                <w:rFonts w:ascii="Arial" w:eastAsia="Arial" w:hAnsi="Arial" w:cs="Arial"/>
              </w:rPr>
              <w:t>Comfortable with reach, frequency, GRPs/TVRs where applicable, impressions, CPM, CPC, CPV, CTR, CPA, ROAS, pacing, variance analysis and post-campaign performance interpretation.</w:t>
            </w:r>
          </w:p>
        </w:tc>
      </w:tr>
      <w:tr w:rsidR="00BA0730" w14:paraId="75733865" w14:textId="77777777">
        <w:trPr>
          <w:jc w:val="center"/>
        </w:trPr>
        <w:tc>
          <w:tcPr>
            <w:tcW w:w="2131" w:type="dxa"/>
          </w:tcPr>
          <w:p w14:paraId="4D102F8A" w14:textId="77777777" w:rsidR="00BA0730" w:rsidRDefault="00000000">
            <w:pPr>
              <w:rPr>
                <w:rFonts w:ascii="Arial" w:eastAsia="Arial" w:hAnsi="Arial" w:cs="Arial"/>
              </w:rPr>
            </w:pPr>
            <w:r>
              <w:rPr>
                <w:rFonts w:ascii="Arial" w:eastAsia="Arial" w:hAnsi="Arial" w:cs="Arial"/>
              </w:rPr>
              <w:t>Commercial discipline</w:t>
            </w:r>
          </w:p>
        </w:tc>
        <w:tc>
          <w:tcPr>
            <w:tcW w:w="7219" w:type="dxa"/>
          </w:tcPr>
          <w:p w14:paraId="00FC9881" w14:textId="77777777" w:rsidR="00BA0730" w:rsidRDefault="00000000">
            <w:pPr>
              <w:rPr>
                <w:rFonts w:ascii="Arial" w:eastAsia="Arial" w:hAnsi="Arial" w:cs="Arial"/>
              </w:rPr>
            </w:pPr>
            <w:r>
              <w:rPr>
                <w:rFonts w:ascii="Arial" w:eastAsia="Arial" w:hAnsi="Arial" w:cs="Arial"/>
              </w:rPr>
              <w:t>Strong negotiation, budget management, supplier management, documentation, margin awareness and reconciliation discipline.</w:t>
            </w:r>
          </w:p>
        </w:tc>
      </w:tr>
      <w:tr w:rsidR="00BA0730" w14:paraId="6B87EBE3" w14:textId="77777777">
        <w:trPr>
          <w:jc w:val="center"/>
        </w:trPr>
        <w:tc>
          <w:tcPr>
            <w:tcW w:w="2131" w:type="dxa"/>
          </w:tcPr>
          <w:p w14:paraId="604768FC" w14:textId="77777777" w:rsidR="00BA0730" w:rsidRDefault="00000000">
            <w:pPr>
              <w:rPr>
                <w:rFonts w:ascii="Arial" w:eastAsia="Arial" w:hAnsi="Arial" w:cs="Arial"/>
              </w:rPr>
            </w:pPr>
            <w:r>
              <w:rPr>
                <w:rFonts w:ascii="Arial" w:eastAsia="Arial" w:hAnsi="Arial" w:cs="Arial"/>
              </w:rPr>
              <w:t>Tools and systems</w:t>
            </w:r>
          </w:p>
        </w:tc>
        <w:tc>
          <w:tcPr>
            <w:tcW w:w="7219" w:type="dxa"/>
          </w:tcPr>
          <w:p w14:paraId="2E937F50" w14:textId="77777777" w:rsidR="00BA0730" w:rsidRDefault="00000000">
            <w:pPr>
              <w:rPr>
                <w:rFonts w:ascii="Arial" w:eastAsia="Arial" w:hAnsi="Arial" w:cs="Arial"/>
              </w:rPr>
            </w:pPr>
            <w:r>
              <w:rPr>
                <w:rFonts w:ascii="Arial" w:eastAsia="Arial" w:hAnsi="Arial" w:cs="Arial"/>
              </w:rPr>
              <w:t>Advanced Excel/Google Sheets, platform ad managers, Google Analytics/GA4 familiarity, Looker Studio or dashboard tools, media monitoring/reporting tools, project tracking tools and responsible AI-assisted planning or analysis.</w:t>
            </w:r>
          </w:p>
        </w:tc>
      </w:tr>
      <w:tr w:rsidR="00BA0730" w14:paraId="0FBADF12" w14:textId="77777777">
        <w:trPr>
          <w:jc w:val="center"/>
        </w:trPr>
        <w:tc>
          <w:tcPr>
            <w:tcW w:w="2131" w:type="dxa"/>
          </w:tcPr>
          <w:p w14:paraId="58715CC6" w14:textId="77777777" w:rsidR="00BA0730" w:rsidRDefault="00000000">
            <w:pPr>
              <w:rPr>
                <w:rFonts w:ascii="Arial" w:eastAsia="Arial" w:hAnsi="Arial" w:cs="Arial"/>
              </w:rPr>
            </w:pPr>
            <w:r>
              <w:rPr>
                <w:rFonts w:ascii="Arial" w:eastAsia="Arial" w:hAnsi="Arial" w:cs="Arial"/>
              </w:rPr>
              <w:t>Core competencies</w:t>
            </w:r>
          </w:p>
        </w:tc>
        <w:tc>
          <w:tcPr>
            <w:tcW w:w="7219" w:type="dxa"/>
          </w:tcPr>
          <w:p w14:paraId="1000F4C5" w14:textId="77777777" w:rsidR="00BA0730" w:rsidRDefault="00000000">
            <w:pPr>
              <w:rPr>
                <w:rFonts w:ascii="Arial" w:eastAsia="Arial" w:hAnsi="Arial" w:cs="Arial"/>
              </w:rPr>
            </w:pPr>
            <w:r>
              <w:rPr>
                <w:rFonts w:ascii="Arial" w:eastAsia="Arial" w:hAnsi="Arial" w:cs="Arial"/>
              </w:rPr>
              <w:t>Analytical thinking, negotiation, attention to detail, speed, accountability, problem-solving, collaboration, client-facing confidence and ability to explain media decisions in simple business language.</w:t>
            </w:r>
          </w:p>
        </w:tc>
      </w:tr>
      <w:tr w:rsidR="00BA0730" w14:paraId="2EA19A4B" w14:textId="77777777">
        <w:trPr>
          <w:jc w:val="center"/>
        </w:trPr>
        <w:tc>
          <w:tcPr>
            <w:tcW w:w="2131" w:type="dxa"/>
          </w:tcPr>
          <w:p w14:paraId="0F0C5D2E" w14:textId="77777777" w:rsidR="00BA0730" w:rsidRDefault="00000000">
            <w:pPr>
              <w:rPr>
                <w:rFonts w:ascii="Arial" w:eastAsia="Arial" w:hAnsi="Arial" w:cs="Arial"/>
              </w:rPr>
            </w:pPr>
            <w:r>
              <w:rPr>
                <w:rFonts w:ascii="Arial" w:eastAsia="Arial" w:hAnsi="Arial" w:cs="Arial"/>
              </w:rPr>
              <w:t>TDM values fit</w:t>
            </w:r>
          </w:p>
        </w:tc>
        <w:tc>
          <w:tcPr>
            <w:tcW w:w="7219" w:type="dxa"/>
          </w:tcPr>
          <w:p w14:paraId="685F648E" w14:textId="77777777" w:rsidR="00BA0730" w:rsidRDefault="00000000">
            <w:pPr>
              <w:rPr>
                <w:rFonts w:ascii="Arial" w:eastAsia="Arial" w:hAnsi="Arial" w:cs="Arial"/>
              </w:rPr>
            </w:pPr>
            <w:r>
              <w:rPr>
                <w:rFonts w:ascii="Arial" w:eastAsia="Arial" w:hAnsi="Arial" w:cs="Arial"/>
              </w:rPr>
              <w:t>Demonstrates excellence through accuracy, innovation through better planning, courage through clear recommendations, authenticity in reporting and empowerment through collaborative execution.</w:t>
            </w:r>
          </w:p>
        </w:tc>
      </w:tr>
    </w:tbl>
    <w:p w14:paraId="08A8E8A5" w14:textId="77777777" w:rsidR="00BA0730" w:rsidRDefault="00000000">
      <w:pPr>
        <w:jc w:val="both"/>
      </w:pPr>
      <w:r>
        <w:br w:type="page"/>
      </w:r>
    </w:p>
    <w:p w14:paraId="52F1BAA9" w14:textId="77777777" w:rsidR="00BA0730" w:rsidRDefault="00000000">
      <w:pPr>
        <w:pStyle w:val="Heading1"/>
        <w:spacing w:before="160" w:after="80"/>
        <w:rPr>
          <w:sz w:val="22"/>
          <w:szCs w:val="22"/>
        </w:rPr>
      </w:pPr>
      <w:bookmarkStart w:id="5" w:name="_heading=h.laesbvo36vlw" w:colFirst="0" w:colLast="0"/>
      <w:bookmarkEnd w:id="5"/>
      <w:r>
        <w:rPr>
          <w:b/>
          <w:bCs/>
          <w:color w:val="005F82"/>
          <w:sz w:val="22"/>
          <w:szCs w:val="22"/>
        </w:rPr>
        <w:lastRenderedPageBreak/>
        <w:t>5. Job Description: Data Analyst</w:t>
      </w:r>
    </w:p>
    <w:p w14:paraId="1E92D27E" w14:textId="77777777" w:rsidR="00BA0730" w:rsidRDefault="00000000">
      <w:pPr>
        <w:pStyle w:val="Heading2"/>
        <w:spacing w:before="80" w:after="80"/>
        <w:rPr>
          <w:sz w:val="22"/>
          <w:szCs w:val="22"/>
        </w:rPr>
      </w:pPr>
      <w:bookmarkStart w:id="6" w:name="_heading=h.l2rnl0rdtsmw" w:colFirst="0" w:colLast="0"/>
      <w:bookmarkEnd w:id="6"/>
      <w:r>
        <w:rPr>
          <w:b/>
          <w:bCs/>
          <w:color w:val="005F82"/>
          <w:sz w:val="22"/>
          <w:szCs w:val="22"/>
        </w:rPr>
        <w:t>Job Title</w:t>
      </w:r>
    </w:p>
    <w:p w14:paraId="01A1F13C" w14:textId="77777777" w:rsidR="00BA0730" w:rsidRDefault="00000000">
      <w:pPr>
        <w:spacing w:after="120" w:line="259" w:lineRule="auto"/>
        <w:jc w:val="both"/>
      </w:pPr>
      <w:r>
        <w:t>Data Analyst</w:t>
      </w:r>
    </w:p>
    <w:p w14:paraId="3CB04CE2" w14:textId="77777777" w:rsidR="00BA0730" w:rsidRDefault="00000000">
      <w:pPr>
        <w:pStyle w:val="Heading2"/>
        <w:spacing w:before="80" w:after="80"/>
        <w:rPr>
          <w:sz w:val="22"/>
          <w:szCs w:val="22"/>
        </w:rPr>
      </w:pPr>
      <w:bookmarkStart w:id="7" w:name="_heading=h.l51b1yjedagc" w:colFirst="0" w:colLast="0"/>
      <w:bookmarkEnd w:id="7"/>
      <w:r>
        <w:rPr>
          <w:b/>
          <w:bCs/>
          <w:color w:val="005F82"/>
          <w:sz w:val="22"/>
          <w:szCs w:val="22"/>
        </w:rPr>
        <w:t>Role Description / Summary</w:t>
      </w:r>
    </w:p>
    <w:p w14:paraId="52825BE2" w14:textId="77777777" w:rsidR="00BA0730" w:rsidRDefault="00000000">
      <w:pPr>
        <w:spacing w:after="120" w:line="259" w:lineRule="auto"/>
        <w:jc w:val="both"/>
      </w:pPr>
      <w:r>
        <w:t>The Data Analyst will strengthen TDM's data-driven decision-making by converting campaign, audience, media, PR, social, client and business data into clear insights, dashboards and recommendations. The role supports strategy, creative, digital, PR, media buying, client service and management by ensuring that reports move beyond data presentation to business interpretation. The Data Analyst will help TDM measure client results, improve delivery excellence, reduce reporting inconsistencies, support pitches and build repeatable measurement systems for a 360-degree agency model.</w:t>
      </w:r>
    </w:p>
    <w:p w14:paraId="6E0BD3FA" w14:textId="77777777" w:rsidR="00BA0730" w:rsidRDefault="00000000">
      <w:pPr>
        <w:pStyle w:val="Heading2"/>
        <w:spacing w:before="80" w:after="80"/>
        <w:rPr>
          <w:sz w:val="22"/>
          <w:szCs w:val="22"/>
        </w:rPr>
      </w:pPr>
      <w:bookmarkStart w:id="8" w:name="_heading=h.ydn9mjjq48y0" w:colFirst="0" w:colLast="0"/>
      <w:bookmarkEnd w:id="8"/>
      <w:r>
        <w:rPr>
          <w:b/>
          <w:bCs/>
          <w:color w:val="005F82"/>
          <w:sz w:val="22"/>
          <w:szCs w:val="22"/>
        </w:rPr>
        <w:t>Key Responsibilities</w:t>
      </w:r>
    </w:p>
    <w:p w14:paraId="56D006B8" w14:textId="77777777" w:rsidR="00BA0730" w:rsidRDefault="00000000">
      <w:pPr>
        <w:numPr>
          <w:ilvl w:val="0"/>
          <w:numId w:val="1"/>
        </w:numPr>
        <w:pBdr>
          <w:top w:val="nil"/>
          <w:left w:val="nil"/>
          <w:bottom w:val="nil"/>
          <w:right w:val="nil"/>
          <w:between w:val="nil"/>
        </w:pBdr>
        <w:spacing w:line="252" w:lineRule="auto"/>
        <w:jc w:val="both"/>
      </w:pPr>
      <w:r>
        <w:rPr>
          <w:color w:val="000000"/>
        </w:rPr>
        <w:t>Design measurement frameworks for campaigns, retainers and pitches, including clear objectives, KPIs, data sources, tagging requirements, baselines and reporting cadence.</w:t>
      </w:r>
    </w:p>
    <w:p w14:paraId="059EA613" w14:textId="77777777" w:rsidR="00BA0730" w:rsidRDefault="00000000">
      <w:pPr>
        <w:numPr>
          <w:ilvl w:val="0"/>
          <w:numId w:val="1"/>
        </w:numPr>
        <w:pBdr>
          <w:top w:val="nil"/>
          <w:left w:val="nil"/>
          <w:bottom w:val="nil"/>
          <w:right w:val="nil"/>
          <w:between w:val="nil"/>
        </w:pBdr>
        <w:spacing w:line="252" w:lineRule="auto"/>
        <w:jc w:val="both"/>
      </w:pPr>
      <w:r>
        <w:rPr>
          <w:color w:val="000000"/>
        </w:rPr>
        <w:t xml:space="preserve">Collect, clean, validate and </w:t>
      </w:r>
      <w:proofErr w:type="spellStart"/>
      <w:r>
        <w:t>analyse</w:t>
      </w:r>
      <w:proofErr w:type="spellEnd"/>
      <w:r>
        <w:rPr>
          <w:color w:val="000000"/>
        </w:rPr>
        <w:t xml:space="preserve"> data from digital platforms, websites, social analytics, media reports, PR coverage, influencer reports, client datasets, CRM exports and internal performance records.</w:t>
      </w:r>
    </w:p>
    <w:p w14:paraId="3255E997" w14:textId="77777777" w:rsidR="00BA0730" w:rsidRDefault="00000000">
      <w:pPr>
        <w:numPr>
          <w:ilvl w:val="0"/>
          <w:numId w:val="1"/>
        </w:numPr>
        <w:pBdr>
          <w:top w:val="nil"/>
          <w:left w:val="nil"/>
          <w:bottom w:val="nil"/>
          <w:right w:val="nil"/>
          <w:between w:val="nil"/>
        </w:pBdr>
        <w:spacing w:line="252" w:lineRule="auto"/>
        <w:jc w:val="both"/>
      </w:pPr>
      <w:r>
        <w:rPr>
          <w:color w:val="000000"/>
        </w:rPr>
        <w:t>Build dashboards, campaign reports, monthly retainer reports, quarterly business reviews and post-campaign analyses that are accurate, visual, executive-ready and decision-useful.</w:t>
      </w:r>
    </w:p>
    <w:p w14:paraId="24EF12A9" w14:textId="77777777" w:rsidR="00BA0730" w:rsidRDefault="00000000">
      <w:pPr>
        <w:numPr>
          <w:ilvl w:val="0"/>
          <w:numId w:val="1"/>
        </w:numPr>
        <w:pBdr>
          <w:top w:val="nil"/>
          <w:left w:val="nil"/>
          <w:bottom w:val="nil"/>
          <w:right w:val="nil"/>
          <w:between w:val="nil"/>
        </w:pBdr>
        <w:spacing w:line="252" w:lineRule="auto"/>
        <w:jc w:val="both"/>
      </w:pPr>
      <w:r>
        <w:rPr>
          <w:color w:val="000000"/>
        </w:rPr>
        <w:t>Work with media, PR, digital, creative and client service teams to define what success means before campaigns go live and to ensure tracking requirements are in place early.</w:t>
      </w:r>
    </w:p>
    <w:p w14:paraId="02AB97D8" w14:textId="77777777" w:rsidR="00BA0730" w:rsidRDefault="00000000">
      <w:pPr>
        <w:numPr>
          <w:ilvl w:val="0"/>
          <w:numId w:val="1"/>
        </w:numPr>
        <w:pBdr>
          <w:top w:val="nil"/>
          <w:left w:val="nil"/>
          <w:bottom w:val="nil"/>
          <w:right w:val="nil"/>
          <w:between w:val="nil"/>
        </w:pBdr>
        <w:spacing w:line="252" w:lineRule="auto"/>
        <w:jc w:val="both"/>
      </w:pPr>
      <w:proofErr w:type="spellStart"/>
      <w:r>
        <w:t>Analyse</w:t>
      </w:r>
      <w:proofErr w:type="spellEnd"/>
      <w:r>
        <w:rPr>
          <w:color w:val="000000"/>
        </w:rPr>
        <w:t xml:space="preserve"> campaign performance, customer/audience </w:t>
      </w:r>
      <w:proofErr w:type="spellStart"/>
      <w:r>
        <w:t>behaviour</w:t>
      </w:r>
      <w:proofErr w:type="spellEnd"/>
      <w:r>
        <w:rPr>
          <w:color w:val="000000"/>
        </w:rPr>
        <w:t>, content performance, media efficiency, sentiment, share of voice, conversion funnels and competitor activity to generate actionable recommendations.</w:t>
      </w:r>
    </w:p>
    <w:p w14:paraId="0BECE0A9" w14:textId="77777777" w:rsidR="00BA0730" w:rsidRDefault="00000000">
      <w:pPr>
        <w:numPr>
          <w:ilvl w:val="0"/>
          <w:numId w:val="1"/>
        </w:numPr>
        <w:pBdr>
          <w:top w:val="nil"/>
          <w:left w:val="nil"/>
          <w:bottom w:val="nil"/>
          <w:right w:val="nil"/>
          <w:between w:val="nil"/>
        </w:pBdr>
        <w:spacing w:line="252" w:lineRule="auto"/>
        <w:jc w:val="both"/>
      </w:pPr>
      <w:r>
        <w:rPr>
          <w:color w:val="000000"/>
        </w:rPr>
        <w:t>Support proposal development with audience insights, category research, competitor benchmarking, performance benchmarks, market context and evidence-based recommendations.</w:t>
      </w:r>
    </w:p>
    <w:p w14:paraId="197366CD" w14:textId="77777777" w:rsidR="00BA0730" w:rsidRDefault="00000000">
      <w:pPr>
        <w:numPr>
          <w:ilvl w:val="0"/>
          <w:numId w:val="1"/>
        </w:numPr>
        <w:pBdr>
          <w:top w:val="nil"/>
          <w:left w:val="nil"/>
          <w:bottom w:val="nil"/>
          <w:right w:val="nil"/>
          <w:between w:val="nil"/>
        </w:pBdr>
        <w:spacing w:line="252" w:lineRule="auto"/>
        <w:jc w:val="both"/>
      </w:pPr>
      <w:r>
        <w:rPr>
          <w:color w:val="000000"/>
        </w:rPr>
        <w:t>Establish data quality checks, data dictionaries, reporting templates, UTM/tagging governance, dashboard standards and version control to reduce errors and inconsistencies.</w:t>
      </w:r>
    </w:p>
    <w:p w14:paraId="7B3B81CE" w14:textId="77777777" w:rsidR="00BA0730" w:rsidRDefault="00000000">
      <w:pPr>
        <w:numPr>
          <w:ilvl w:val="0"/>
          <w:numId w:val="1"/>
        </w:numPr>
        <w:pBdr>
          <w:top w:val="nil"/>
          <w:left w:val="nil"/>
          <w:bottom w:val="nil"/>
          <w:right w:val="nil"/>
          <w:between w:val="nil"/>
        </w:pBdr>
        <w:spacing w:line="252" w:lineRule="auto"/>
        <w:jc w:val="both"/>
      </w:pPr>
      <w:r>
        <w:rPr>
          <w:color w:val="000000"/>
        </w:rPr>
        <w:t>Use AI and automation responsibly to speed up data cleaning, pattern detection, reporting and analysis while independently validating conclusions before client use.</w:t>
      </w:r>
    </w:p>
    <w:p w14:paraId="34EFA766" w14:textId="77777777" w:rsidR="00BA0730" w:rsidRDefault="00000000">
      <w:pPr>
        <w:numPr>
          <w:ilvl w:val="0"/>
          <w:numId w:val="1"/>
        </w:numPr>
        <w:pBdr>
          <w:top w:val="nil"/>
          <w:left w:val="nil"/>
          <w:bottom w:val="nil"/>
          <w:right w:val="nil"/>
          <w:between w:val="nil"/>
        </w:pBdr>
        <w:spacing w:line="252" w:lineRule="auto"/>
        <w:jc w:val="both"/>
      </w:pPr>
      <w:r>
        <w:rPr>
          <w:color w:val="000000"/>
        </w:rPr>
        <w:t>Train and support teams on data interpretation, reporting discipline, dashboard use and the difference between activity metrics and business outcomes.</w:t>
      </w:r>
    </w:p>
    <w:p w14:paraId="68F5B0F8" w14:textId="77777777" w:rsidR="00BA0730" w:rsidRDefault="00000000">
      <w:pPr>
        <w:numPr>
          <w:ilvl w:val="0"/>
          <w:numId w:val="1"/>
        </w:numPr>
        <w:pBdr>
          <w:top w:val="nil"/>
          <w:left w:val="nil"/>
          <w:bottom w:val="nil"/>
          <w:right w:val="nil"/>
          <w:between w:val="nil"/>
        </w:pBdr>
        <w:spacing w:after="40" w:line="252" w:lineRule="auto"/>
        <w:jc w:val="both"/>
      </w:pPr>
      <w:r>
        <w:rPr>
          <w:color w:val="000000"/>
        </w:rPr>
        <w:t>Maintain confidentiality, ethical data handling, source documentation and clear assumptions in all analyses and client-facing outputs.</w:t>
      </w:r>
    </w:p>
    <w:p w14:paraId="34930DC9" w14:textId="77777777" w:rsidR="00BA0730" w:rsidRDefault="00000000">
      <w:pPr>
        <w:pStyle w:val="Heading2"/>
        <w:spacing w:before="80" w:after="80"/>
        <w:rPr>
          <w:sz w:val="22"/>
          <w:szCs w:val="22"/>
        </w:rPr>
      </w:pPr>
      <w:bookmarkStart w:id="9" w:name="_heading=h.l5bhractnyfv" w:colFirst="0" w:colLast="0"/>
      <w:bookmarkEnd w:id="9"/>
      <w:r>
        <w:rPr>
          <w:b/>
          <w:bCs/>
          <w:color w:val="005F82"/>
          <w:sz w:val="22"/>
          <w:szCs w:val="22"/>
        </w:rPr>
        <w:lastRenderedPageBreak/>
        <w:t>KPIs</w:t>
      </w:r>
    </w:p>
    <w:tbl>
      <w:tblPr>
        <w:tblStyle w:val="a6"/>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216"/>
        <w:gridCol w:w="2781"/>
        <w:gridCol w:w="3442"/>
        <w:gridCol w:w="911"/>
      </w:tblGrid>
      <w:tr w:rsidR="00BA0730" w14:paraId="01CD77FE" w14:textId="77777777">
        <w:trPr>
          <w:tblHeader/>
          <w:jc w:val="center"/>
        </w:trPr>
        <w:tc>
          <w:tcPr>
            <w:tcW w:w="2216" w:type="dxa"/>
            <w:shd w:val="clear" w:color="auto" w:fill="005F82"/>
            <w:vAlign w:val="center"/>
          </w:tcPr>
          <w:p w14:paraId="08849CE2" w14:textId="77777777" w:rsidR="00BA0730" w:rsidRDefault="00000000">
            <w:pPr>
              <w:jc w:val="center"/>
              <w:rPr>
                <w:rFonts w:ascii="Arial" w:eastAsia="Arial" w:hAnsi="Arial" w:cs="Arial"/>
              </w:rPr>
            </w:pPr>
            <w:r>
              <w:rPr>
                <w:rFonts w:ascii="Arial" w:eastAsia="Arial" w:hAnsi="Arial" w:cs="Arial"/>
                <w:b/>
                <w:bCs/>
                <w:color w:val="FFFFFF"/>
              </w:rPr>
              <w:t>KPI</w:t>
            </w:r>
          </w:p>
        </w:tc>
        <w:tc>
          <w:tcPr>
            <w:tcW w:w="2781" w:type="dxa"/>
            <w:shd w:val="clear" w:color="auto" w:fill="005F82"/>
            <w:vAlign w:val="center"/>
          </w:tcPr>
          <w:p w14:paraId="62833ACE" w14:textId="77777777" w:rsidR="00BA0730" w:rsidRDefault="00000000">
            <w:pPr>
              <w:jc w:val="center"/>
              <w:rPr>
                <w:rFonts w:ascii="Arial" w:eastAsia="Arial" w:hAnsi="Arial" w:cs="Arial"/>
              </w:rPr>
            </w:pPr>
            <w:r>
              <w:rPr>
                <w:rFonts w:ascii="Arial" w:eastAsia="Arial" w:hAnsi="Arial" w:cs="Arial"/>
                <w:b/>
                <w:bCs/>
                <w:color w:val="FFFFFF"/>
              </w:rPr>
              <w:t>What to Measure</w:t>
            </w:r>
          </w:p>
        </w:tc>
        <w:tc>
          <w:tcPr>
            <w:tcW w:w="3442" w:type="dxa"/>
            <w:shd w:val="clear" w:color="auto" w:fill="005F82"/>
            <w:vAlign w:val="center"/>
          </w:tcPr>
          <w:p w14:paraId="5F73CD39" w14:textId="77777777" w:rsidR="00BA0730" w:rsidRDefault="00000000">
            <w:pPr>
              <w:jc w:val="center"/>
              <w:rPr>
                <w:rFonts w:ascii="Arial" w:eastAsia="Arial" w:hAnsi="Arial" w:cs="Arial"/>
              </w:rPr>
            </w:pPr>
            <w:r>
              <w:rPr>
                <w:rFonts w:ascii="Arial" w:eastAsia="Arial" w:hAnsi="Arial" w:cs="Arial"/>
                <w:b/>
                <w:bCs/>
                <w:color w:val="FFFFFF"/>
              </w:rPr>
              <w:t>How to Measure</w:t>
            </w:r>
          </w:p>
        </w:tc>
        <w:tc>
          <w:tcPr>
            <w:tcW w:w="911" w:type="dxa"/>
            <w:shd w:val="clear" w:color="auto" w:fill="005F82"/>
            <w:vAlign w:val="center"/>
          </w:tcPr>
          <w:p w14:paraId="7894DC1F" w14:textId="77777777" w:rsidR="00BA0730" w:rsidRDefault="00000000">
            <w:pPr>
              <w:jc w:val="center"/>
              <w:rPr>
                <w:rFonts w:ascii="Arial" w:eastAsia="Arial" w:hAnsi="Arial" w:cs="Arial"/>
              </w:rPr>
            </w:pPr>
            <w:r>
              <w:rPr>
                <w:rFonts w:ascii="Arial" w:eastAsia="Arial" w:hAnsi="Arial" w:cs="Arial"/>
                <w:b/>
                <w:bCs/>
                <w:color w:val="FFFFFF"/>
              </w:rPr>
              <w:t>Weight</w:t>
            </w:r>
          </w:p>
        </w:tc>
      </w:tr>
      <w:tr w:rsidR="00BA0730" w14:paraId="32A1FBDD" w14:textId="77777777">
        <w:trPr>
          <w:jc w:val="center"/>
        </w:trPr>
        <w:tc>
          <w:tcPr>
            <w:tcW w:w="2216" w:type="dxa"/>
          </w:tcPr>
          <w:p w14:paraId="4280FFF3" w14:textId="77777777" w:rsidR="00BA0730" w:rsidRDefault="00000000">
            <w:pPr>
              <w:rPr>
                <w:rFonts w:ascii="Arial" w:eastAsia="Arial" w:hAnsi="Arial" w:cs="Arial"/>
              </w:rPr>
            </w:pPr>
            <w:r>
              <w:rPr>
                <w:rFonts w:ascii="Arial" w:eastAsia="Arial" w:hAnsi="Arial" w:cs="Arial"/>
              </w:rPr>
              <w:t>Reporting and dashboard SLA compliance</w:t>
            </w:r>
          </w:p>
        </w:tc>
        <w:tc>
          <w:tcPr>
            <w:tcW w:w="2781" w:type="dxa"/>
          </w:tcPr>
          <w:p w14:paraId="69E7DB5A" w14:textId="77777777" w:rsidR="00BA0730" w:rsidRDefault="00000000">
            <w:pPr>
              <w:rPr>
                <w:rFonts w:ascii="Arial" w:eastAsia="Arial" w:hAnsi="Arial" w:cs="Arial"/>
              </w:rPr>
            </w:pPr>
            <w:r>
              <w:rPr>
                <w:rFonts w:ascii="Arial" w:eastAsia="Arial" w:hAnsi="Arial" w:cs="Arial"/>
              </w:rPr>
              <w:t>Timely delivery of agreed dashboards, monthly reports, campaign reports, post-campaign analyses and quarterly review packs.</w:t>
            </w:r>
          </w:p>
        </w:tc>
        <w:tc>
          <w:tcPr>
            <w:tcW w:w="3442" w:type="dxa"/>
          </w:tcPr>
          <w:p w14:paraId="7ED706E0" w14:textId="77777777" w:rsidR="00BA0730" w:rsidRDefault="00000000">
            <w:pPr>
              <w:rPr>
                <w:rFonts w:ascii="Arial" w:eastAsia="Arial" w:hAnsi="Arial" w:cs="Arial"/>
              </w:rPr>
            </w:pPr>
            <w:r>
              <w:rPr>
                <w:rFonts w:ascii="Arial" w:eastAsia="Arial" w:hAnsi="Arial" w:cs="Arial"/>
              </w:rPr>
              <w:t>Reporting calendar, SLA tracker, status sheets and client/BU Head review notes.</w:t>
            </w:r>
          </w:p>
        </w:tc>
        <w:tc>
          <w:tcPr>
            <w:tcW w:w="911" w:type="dxa"/>
          </w:tcPr>
          <w:p w14:paraId="1A2FB0E5" w14:textId="77777777" w:rsidR="00BA0730" w:rsidRDefault="00000000">
            <w:pPr>
              <w:jc w:val="center"/>
              <w:rPr>
                <w:rFonts w:ascii="Arial" w:eastAsia="Arial" w:hAnsi="Arial" w:cs="Arial"/>
              </w:rPr>
            </w:pPr>
            <w:r>
              <w:rPr>
                <w:rFonts w:ascii="Arial" w:eastAsia="Arial" w:hAnsi="Arial" w:cs="Arial"/>
              </w:rPr>
              <w:t>15%</w:t>
            </w:r>
          </w:p>
        </w:tc>
      </w:tr>
      <w:tr w:rsidR="00BA0730" w14:paraId="0A8C2256" w14:textId="77777777">
        <w:trPr>
          <w:jc w:val="center"/>
        </w:trPr>
        <w:tc>
          <w:tcPr>
            <w:tcW w:w="2216" w:type="dxa"/>
          </w:tcPr>
          <w:p w14:paraId="0B480962" w14:textId="77777777" w:rsidR="00BA0730" w:rsidRDefault="00000000">
            <w:pPr>
              <w:rPr>
                <w:rFonts w:ascii="Arial" w:eastAsia="Arial" w:hAnsi="Arial" w:cs="Arial"/>
              </w:rPr>
            </w:pPr>
            <w:r>
              <w:rPr>
                <w:rFonts w:ascii="Arial" w:eastAsia="Arial" w:hAnsi="Arial" w:cs="Arial"/>
              </w:rPr>
              <w:t>Data quality and governance</w:t>
            </w:r>
          </w:p>
        </w:tc>
        <w:tc>
          <w:tcPr>
            <w:tcW w:w="2781" w:type="dxa"/>
          </w:tcPr>
          <w:p w14:paraId="659C9BA3" w14:textId="77777777" w:rsidR="00BA0730" w:rsidRDefault="00000000">
            <w:pPr>
              <w:rPr>
                <w:rFonts w:ascii="Arial" w:eastAsia="Arial" w:hAnsi="Arial" w:cs="Arial"/>
              </w:rPr>
            </w:pPr>
            <w:r>
              <w:rPr>
                <w:rFonts w:ascii="Arial" w:eastAsia="Arial" w:hAnsi="Arial" w:cs="Arial"/>
              </w:rPr>
              <w:t>Accuracy, completeness, consistency, traceability and reliability of datasets, dashboards, assumptions and reporting templates.</w:t>
            </w:r>
          </w:p>
        </w:tc>
        <w:tc>
          <w:tcPr>
            <w:tcW w:w="3442" w:type="dxa"/>
          </w:tcPr>
          <w:p w14:paraId="440BAE68" w14:textId="77777777" w:rsidR="00BA0730" w:rsidRDefault="00000000">
            <w:pPr>
              <w:rPr>
                <w:rFonts w:ascii="Arial" w:eastAsia="Arial" w:hAnsi="Arial" w:cs="Arial"/>
              </w:rPr>
            </w:pPr>
            <w:r>
              <w:rPr>
                <w:rFonts w:ascii="Arial" w:eastAsia="Arial" w:hAnsi="Arial" w:cs="Arial"/>
              </w:rPr>
              <w:t>QA checklist, data validation log, error rate, correction log, source documentation and version control audit.</w:t>
            </w:r>
          </w:p>
        </w:tc>
        <w:tc>
          <w:tcPr>
            <w:tcW w:w="911" w:type="dxa"/>
          </w:tcPr>
          <w:p w14:paraId="0F2E9EBB" w14:textId="77777777" w:rsidR="00BA0730" w:rsidRDefault="00000000">
            <w:pPr>
              <w:jc w:val="center"/>
              <w:rPr>
                <w:rFonts w:ascii="Arial" w:eastAsia="Arial" w:hAnsi="Arial" w:cs="Arial"/>
              </w:rPr>
            </w:pPr>
            <w:r>
              <w:rPr>
                <w:rFonts w:ascii="Arial" w:eastAsia="Arial" w:hAnsi="Arial" w:cs="Arial"/>
              </w:rPr>
              <w:t>20%</w:t>
            </w:r>
          </w:p>
        </w:tc>
      </w:tr>
      <w:tr w:rsidR="00BA0730" w14:paraId="12185691" w14:textId="77777777">
        <w:trPr>
          <w:jc w:val="center"/>
        </w:trPr>
        <w:tc>
          <w:tcPr>
            <w:tcW w:w="2216" w:type="dxa"/>
          </w:tcPr>
          <w:p w14:paraId="3D0DEBC6" w14:textId="77777777" w:rsidR="00BA0730" w:rsidRDefault="00000000">
            <w:pPr>
              <w:rPr>
                <w:rFonts w:ascii="Arial" w:eastAsia="Arial" w:hAnsi="Arial" w:cs="Arial"/>
              </w:rPr>
            </w:pPr>
            <w:r>
              <w:rPr>
                <w:rFonts w:ascii="Arial" w:eastAsia="Arial" w:hAnsi="Arial" w:cs="Arial"/>
              </w:rPr>
              <w:t>Insight quality and optimization impact</w:t>
            </w:r>
          </w:p>
        </w:tc>
        <w:tc>
          <w:tcPr>
            <w:tcW w:w="2781" w:type="dxa"/>
          </w:tcPr>
          <w:p w14:paraId="5A1ADD0D" w14:textId="77777777" w:rsidR="00BA0730" w:rsidRDefault="00000000">
            <w:pPr>
              <w:rPr>
                <w:rFonts w:ascii="Arial" w:eastAsia="Arial" w:hAnsi="Arial" w:cs="Arial"/>
              </w:rPr>
            </w:pPr>
            <w:r>
              <w:rPr>
                <w:rFonts w:ascii="Arial" w:eastAsia="Arial" w:hAnsi="Arial" w:cs="Arial"/>
              </w:rPr>
              <w:t>Ability to convert data into useful insights that improve campaigns, creative decisions, media allocation and client advisory.</w:t>
            </w:r>
          </w:p>
        </w:tc>
        <w:tc>
          <w:tcPr>
            <w:tcW w:w="3442" w:type="dxa"/>
          </w:tcPr>
          <w:p w14:paraId="539F188F" w14:textId="77777777" w:rsidR="00BA0730" w:rsidRDefault="00000000">
            <w:pPr>
              <w:rPr>
                <w:rFonts w:ascii="Arial" w:eastAsia="Arial" w:hAnsi="Arial" w:cs="Arial"/>
              </w:rPr>
            </w:pPr>
            <w:r>
              <w:rPr>
                <w:rFonts w:ascii="Arial" w:eastAsia="Arial" w:hAnsi="Arial" w:cs="Arial"/>
              </w:rPr>
              <w:t>Number and quality of actionable recommendations, optimization actions taken, performance improvements and post-campaign learning notes.</w:t>
            </w:r>
          </w:p>
        </w:tc>
        <w:tc>
          <w:tcPr>
            <w:tcW w:w="911" w:type="dxa"/>
          </w:tcPr>
          <w:p w14:paraId="197E01D0" w14:textId="77777777" w:rsidR="00BA0730" w:rsidRDefault="00000000">
            <w:pPr>
              <w:jc w:val="center"/>
              <w:rPr>
                <w:rFonts w:ascii="Arial" w:eastAsia="Arial" w:hAnsi="Arial" w:cs="Arial"/>
              </w:rPr>
            </w:pPr>
            <w:r>
              <w:rPr>
                <w:rFonts w:ascii="Arial" w:eastAsia="Arial" w:hAnsi="Arial" w:cs="Arial"/>
              </w:rPr>
              <w:t>20%</w:t>
            </w:r>
          </w:p>
        </w:tc>
      </w:tr>
      <w:tr w:rsidR="00BA0730" w14:paraId="60176724" w14:textId="77777777">
        <w:trPr>
          <w:jc w:val="center"/>
        </w:trPr>
        <w:tc>
          <w:tcPr>
            <w:tcW w:w="2216" w:type="dxa"/>
          </w:tcPr>
          <w:p w14:paraId="4ABDAF86" w14:textId="77777777" w:rsidR="00BA0730" w:rsidRDefault="00000000">
            <w:pPr>
              <w:rPr>
                <w:rFonts w:ascii="Arial" w:eastAsia="Arial" w:hAnsi="Arial" w:cs="Arial"/>
              </w:rPr>
            </w:pPr>
            <w:r>
              <w:rPr>
                <w:rFonts w:ascii="Arial" w:eastAsia="Arial" w:hAnsi="Arial" w:cs="Arial"/>
              </w:rPr>
              <w:t>Client results and business value</w:t>
            </w:r>
          </w:p>
        </w:tc>
        <w:tc>
          <w:tcPr>
            <w:tcW w:w="2781" w:type="dxa"/>
          </w:tcPr>
          <w:p w14:paraId="6A038005" w14:textId="77777777" w:rsidR="00BA0730" w:rsidRDefault="00000000">
            <w:pPr>
              <w:rPr>
                <w:rFonts w:ascii="Arial" w:eastAsia="Arial" w:hAnsi="Arial" w:cs="Arial"/>
              </w:rPr>
            </w:pPr>
            <w:r>
              <w:rPr>
                <w:rFonts w:ascii="Arial" w:eastAsia="Arial" w:hAnsi="Arial" w:cs="Arial"/>
              </w:rPr>
              <w:t>Contribution to client retention, retainer growth, campaign effectiveness, credibility of reporting and evidence-based business decisions.</w:t>
            </w:r>
          </w:p>
        </w:tc>
        <w:tc>
          <w:tcPr>
            <w:tcW w:w="3442" w:type="dxa"/>
          </w:tcPr>
          <w:p w14:paraId="23531F94" w14:textId="77777777" w:rsidR="00BA0730" w:rsidRDefault="00000000">
            <w:pPr>
              <w:rPr>
                <w:rFonts w:ascii="Arial" w:eastAsia="Arial" w:hAnsi="Arial" w:cs="Arial"/>
              </w:rPr>
            </w:pPr>
            <w:r>
              <w:rPr>
                <w:rFonts w:ascii="Arial" w:eastAsia="Arial" w:hAnsi="Arial" w:cs="Arial"/>
              </w:rPr>
              <w:t>Client feedback, retained accounts supported, QBR inputs, management feedback and documented value-add insights.</w:t>
            </w:r>
          </w:p>
        </w:tc>
        <w:tc>
          <w:tcPr>
            <w:tcW w:w="911" w:type="dxa"/>
          </w:tcPr>
          <w:p w14:paraId="46EF297C" w14:textId="77777777" w:rsidR="00BA0730" w:rsidRDefault="00000000">
            <w:pPr>
              <w:jc w:val="center"/>
              <w:rPr>
                <w:rFonts w:ascii="Arial" w:eastAsia="Arial" w:hAnsi="Arial" w:cs="Arial"/>
              </w:rPr>
            </w:pPr>
            <w:r>
              <w:rPr>
                <w:rFonts w:ascii="Arial" w:eastAsia="Arial" w:hAnsi="Arial" w:cs="Arial"/>
              </w:rPr>
              <w:t>15%</w:t>
            </w:r>
          </w:p>
        </w:tc>
      </w:tr>
      <w:tr w:rsidR="00BA0730" w14:paraId="270F50E5" w14:textId="77777777">
        <w:trPr>
          <w:jc w:val="center"/>
        </w:trPr>
        <w:tc>
          <w:tcPr>
            <w:tcW w:w="2216" w:type="dxa"/>
          </w:tcPr>
          <w:p w14:paraId="7CDCBBE6" w14:textId="77777777" w:rsidR="00BA0730" w:rsidRDefault="00000000">
            <w:pPr>
              <w:rPr>
                <w:rFonts w:ascii="Arial" w:eastAsia="Arial" w:hAnsi="Arial" w:cs="Arial"/>
              </w:rPr>
            </w:pPr>
            <w:r>
              <w:rPr>
                <w:rFonts w:ascii="Arial" w:eastAsia="Arial" w:hAnsi="Arial" w:cs="Arial"/>
              </w:rPr>
              <w:t>Research and pitch support</w:t>
            </w:r>
          </w:p>
        </w:tc>
        <w:tc>
          <w:tcPr>
            <w:tcW w:w="2781" w:type="dxa"/>
          </w:tcPr>
          <w:p w14:paraId="3B214F01" w14:textId="77777777" w:rsidR="00BA0730" w:rsidRDefault="00000000">
            <w:pPr>
              <w:rPr>
                <w:rFonts w:ascii="Arial" w:eastAsia="Arial" w:hAnsi="Arial" w:cs="Arial"/>
              </w:rPr>
            </w:pPr>
            <w:r>
              <w:rPr>
                <w:rFonts w:ascii="Arial" w:eastAsia="Arial" w:hAnsi="Arial" w:cs="Arial"/>
              </w:rPr>
              <w:t>Quality and usefulness of research, benchmarks, category analysis, audience insights and performance assumptions used in proposals and strategy.</w:t>
            </w:r>
          </w:p>
        </w:tc>
        <w:tc>
          <w:tcPr>
            <w:tcW w:w="3442" w:type="dxa"/>
          </w:tcPr>
          <w:p w14:paraId="07E0BB4C" w14:textId="77777777" w:rsidR="00BA0730" w:rsidRDefault="00000000">
            <w:pPr>
              <w:rPr>
                <w:rFonts w:ascii="Arial" w:eastAsia="Arial" w:hAnsi="Arial" w:cs="Arial"/>
              </w:rPr>
            </w:pPr>
            <w:r>
              <w:rPr>
                <w:rFonts w:ascii="Arial" w:eastAsia="Arial" w:hAnsi="Arial" w:cs="Arial"/>
              </w:rPr>
              <w:t>Proposal support tracker, pitch acceptance feedback, research QA and use of insights in approved strategies.</w:t>
            </w:r>
          </w:p>
        </w:tc>
        <w:tc>
          <w:tcPr>
            <w:tcW w:w="911" w:type="dxa"/>
          </w:tcPr>
          <w:p w14:paraId="537E1598" w14:textId="77777777" w:rsidR="00BA0730" w:rsidRDefault="00000000">
            <w:pPr>
              <w:jc w:val="center"/>
              <w:rPr>
                <w:rFonts w:ascii="Arial" w:eastAsia="Arial" w:hAnsi="Arial" w:cs="Arial"/>
              </w:rPr>
            </w:pPr>
            <w:r>
              <w:rPr>
                <w:rFonts w:ascii="Arial" w:eastAsia="Arial" w:hAnsi="Arial" w:cs="Arial"/>
              </w:rPr>
              <w:t>10%</w:t>
            </w:r>
          </w:p>
        </w:tc>
      </w:tr>
      <w:tr w:rsidR="00BA0730" w14:paraId="6F48E05D" w14:textId="77777777">
        <w:trPr>
          <w:jc w:val="center"/>
        </w:trPr>
        <w:tc>
          <w:tcPr>
            <w:tcW w:w="2216" w:type="dxa"/>
          </w:tcPr>
          <w:p w14:paraId="119F3185" w14:textId="77777777" w:rsidR="00BA0730" w:rsidRDefault="00000000">
            <w:pPr>
              <w:rPr>
                <w:rFonts w:ascii="Arial" w:eastAsia="Arial" w:hAnsi="Arial" w:cs="Arial"/>
              </w:rPr>
            </w:pPr>
            <w:r>
              <w:rPr>
                <w:rFonts w:ascii="Arial" w:eastAsia="Arial" w:hAnsi="Arial" w:cs="Arial"/>
              </w:rPr>
              <w:t>Automation, AI and system improvement</w:t>
            </w:r>
          </w:p>
        </w:tc>
        <w:tc>
          <w:tcPr>
            <w:tcW w:w="2781" w:type="dxa"/>
          </w:tcPr>
          <w:p w14:paraId="233B6401" w14:textId="77777777" w:rsidR="00BA0730" w:rsidRDefault="00000000">
            <w:pPr>
              <w:rPr>
                <w:rFonts w:ascii="Arial" w:eastAsia="Arial" w:hAnsi="Arial" w:cs="Arial"/>
              </w:rPr>
            </w:pPr>
            <w:r>
              <w:rPr>
                <w:rFonts w:ascii="Arial" w:eastAsia="Arial" w:hAnsi="Arial" w:cs="Arial"/>
              </w:rPr>
              <w:t>Improvement of reporting efficiency, dashboard automation, reusable templates, data workflows and responsible AI adoption.</w:t>
            </w:r>
          </w:p>
        </w:tc>
        <w:tc>
          <w:tcPr>
            <w:tcW w:w="3442" w:type="dxa"/>
          </w:tcPr>
          <w:p w14:paraId="3878460B" w14:textId="77777777" w:rsidR="00BA0730" w:rsidRDefault="00000000">
            <w:pPr>
              <w:rPr>
                <w:rFonts w:ascii="Arial" w:eastAsia="Arial" w:hAnsi="Arial" w:cs="Arial"/>
              </w:rPr>
            </w:pPr>
            <w:r>
              <w:rPr>
                <w:rFonts w:ascii="Arial" w:eastAsia="Arial" w:hAnsi="Arial" w:cs="Arial"/>
              </w:rPr>
              <w:t>Time saved, reusable assets created, automated reports, adoption by teams and documented SOPs.</w:t>
            </w:r>
          </w:p>
        </w:tc>
        <w:tc>
          <w:tcPr>
            <w:tcW w:w="911" w:type="dxa"/>
          </w:tcPr>
          <w:p w14:paraId="7923D900" w14:textId="77777777" w:rsidR="00BA0730" w:rsidRDefault="00000000">
            <w:pPr>
              <w:jc w:val="center"/>
              <w:rPr>
                <w:rFonts w:ascii="Arial" w:eastAsia="Arial" w:hAnsi="Arial" w:cs="Arial"/>
              </w:rPr>
            </w:pPr>
            <w:r>
              <w:rPr>
                <w:rFonts w:ascii="Arial" w:eastAsia="Arial" w:hAnsi="Arial" w:cs="Arial"/>
              </w:rPr>
              <w:t>10%</w:t>
            </w:r>
          </w:p>
        </w:tc>
      </w:tr>
      <w:tr w:rsidR="00BA0730" w14:paraId="2484C77C" w14:textId="77777777">
        <w:trPr>
          <w:jc w:val="center"/>
        </w:trPr>
        <w:tc>
          <w:tcPr>
            <w:tcW w:w="2216" w:type="dxa"/>
          </w:tcPr>
          <w:p w14:paraId="59D44A4B" w14:textId="77777777" w:rsidR="00BA0730" w:rsidRDefault="00000000">
            <w:pPr>
              <w:rPr>
                <w:rFonts w:ascii="Arial" w:eastAsia="Arial" w:hAnsi="Arial" w:cs="Arial"/>
              </w:rPr>
            </w:pPr>
            <w:r>
              <w:rPr>
                <w:rFonts w:ascii="Arial" w:eastAsia="Arial" w:hAnsi="Arial" w:cs="Arial"/>
              </w:rPr>
              <w:t>Collaboration, training and process compliance</w:t>
            </w:r>
          </w:p>
        </w:tc>
        <w:tc>
          <w:tcPr>
            <w:tcW w:w="2781" w:type="dxa"/>
          </w:tcPr>
          <w:p w14:paraId="4032F87C" w14:textId="77777777" w:rsidR="00BA0730" w:rsidRDefault="00000000">
            <w:pPr>
              <w:rPr>
                <w:rFonts w:ascii="Arial" w:eastAsia="Arial" w:hAnsi="Arial" w:cs="Arial"/>
              </w:rPr>
            </w:pPr>
            <w:r>
              <w:rPr>
                <w:rFonts w:ascii="Arial" w:eastAsia="Arial" w:hAnsi="Arial" w:cs="Arial"/>
              </w:rPr>
              <w:t xml:space="preserve">Support to teams in interpreting data, following measurement standards, using </w:t>
            </w:r>
            <w:r>
              <w:rPr>
                <w:rFonts w:ascii="Arial" w:eastAsia="Arial" w:hAnsi="Arial" w:cs="Arial"/>
              </w:rPr>
              <w:lastRenderedPageBreak/>
              <w:t>dashboards and complying with approved workflows.</w:t>
            </w:r>
          </w:p>
        </w:tc>
        <w:tc>
          <w:tcPr>
            <w:tcW w:w="3442" w:type="dxa"/>
          </w:tcPr>
          <w:p w14:paraId="7E7393B2" w14:textId="77777777" w:rsidR="00BA0730" w:rsidRDefault="00000000">
            <w:pPr>
              <w:rPr>
                <w:rFonts w:ascii="Arial" w:eastAsia="Arial" w:hAnsi="Arial" w:cs="Arial"/>
              </w:rPr>
            </w:pPr>
            <w:r>
              <w:rPr>
                <w:rFonts w:ascii="Arial" w:eastAsia="Arial" w:hAnsi="Arial" w:cs="Arial"/>
              </w:rPr>
              <w:lastRenderedPageBreak/>
              <w:t>Training logs, peer feedback, internal SLA compliance, issue logs and adherence to reporting SOPs.</w:t>
            </w:r>
          </w:p>
        </w:tc>
        <w:tc>
          <w:tcPr>
            <w:tcW w:w="911" w:type="dxa"/>
          </w:tcPr>
          <w:p w14:paraId="32F60E06" w14:textId="77777777" w:rsidR="00BA0730" w:rsidRDefault="00000000">
            <w:pPr>
              <w:jc w:val="center"/>
              <w:rPr>
                <w:rFonts w:ascii="Arial" w:eastAsia="Arial" w:hAnsi="Arial" w:cs="Arial"/>
              </w:rPr>
            </w:pPr>
            <w:r>
              <w:rPr>
                <w:rFonts w:ascii="Arial" w:eastAsia="Arial" w:hAnsi="Arial" w:cs="Arial"/>
              </w:rPr>
              <w:t>10%</w:t>
            </w:r>
          </w:p>
        </w:tc>
      </w:tr>
    </w:tbl>
    <w:p w14:paraId="14E5A895" w14:textId="77777777" w:rsidR="00BA0730" w:rsidRDefault="00BA0730">
      <w:pPr>
        <w:spacing w:after="40" w:line="259" w:lineRule="auto"/>
        <w:jc w:val="both"/>
      </w:pPr>
    </w:p>
    <w:p w14:paraId="49810903" w14:textId="77777777" w:rsidR="00BA0730" w:rsidRDefault="00000000">
      <w:pPr>
        <w:pStyle w:val="Heading2"/>
        <w:spacing w:before="80" w:after="80"/>
        <w:rPr>
          <w:sz w:val="22"/>
          <w:szCs w:val="22"/>
        </w:rPr>
      </w:pPr>
      <w:bookmarkStart w:id="10" w:name="_heading=h.rno0w5okprq2" w:colFirst="0" w:colLast="0"/>
      <w:bookmarkEnd w:id="10"/>
      <w:r>
        <w:rPr>
          <w:b/>
          <w:bCs/>
          <w:color w:val="005F82"/>
          <w:sz w:val="22"/>
          <w:szCs w:val="22"/>
        </w:rPr>
        <w:t>Skills, Competencies and Qualifications</w:t>
      </w:r>
    </w:p>
    <w:tbl>
      <w:tblPr>
        <w:tblStyle w:val="a7"/>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42"/>
        <w:gridCol w:w="7208"/>
      </w:tblGrid>
      <w:tr w:rsidR="00BA0730" w14:paraId="18690FDD" w14:textId="77777777">
        <w:trPr>
          <w:tblHeader/>
          <w:jc w:val="center"/>
        </w:trPr>
        <w:tc>
          <w:tcPr>
            <w:tcW w:w="2142" w:type="dxa"/>
            <w:shd w:val="clear" w:color="auto" w:fill="005F82"/>
            <w:vAlign w:val="center"/>
          </w:tcPr>
          <w:p w14:paraId="76438A5C" w14:textId="77777777" w:rsidR="00BA0730" w:rsidRDefault="00000000">
            <w:pPr>
              <w:jc w:val="center"/>
              <w:rPr>
                <w:rFonts w:ascii="Arial" w:eastAsia="Arial" w:hAnsi="Arial" w:cs="Arial"/>
              </w:rPr>
            </w:pPr>
            <w:r>
              <w:rPr>
                <w:rFonts w:ascii="Arial" w:eastAsia="Arial" w:hAnsi="Arial" w:cs="Arial"/>
                <w:b/>
                <w:bCs/>
                <w:color w:val="FFFFFF"/>
              </w:rPr>
              <w:t>Area</w:t>
            </w:r>
          </w:p>
        </w:tc>
        <w:tc>
          <w:tcPr>
            <w:tcW w:w="7208" w:type="dxa"/>
            <w:shd w:val="clear" w:color="auto" w:fill="005F82"/>
            <w:vAlign w:val="center"/>
          </w:tcPr>
          <w:p w14:paraId="181FD633" w14:textId="77777777" w:rsidR="00BA0730" w:rsidRDefault="00000000">
            <w:pPr>
              <w:jc w:val="center"/>
              <w:rPr>
                <w:rFonts w:ascii="Arial" w:eastAsia="Arial" w:hAnsi="Arial" w:cs="Arial"/>
              </w:rPr>
            </w:pPr>
            <w:r>
              <w:rPr>
                <w:rFonts w:ascii="Arial" w:eastAsia="Arial" w:hAnsi="Arial" w:cs="Arial"/>
                <w:b/>
                <w:bCs/>
                <w:color w:val="FFFFFF"/>
              </w:rPr>
              <w:t>Requirement</w:t>
            </w:r>
          </w:p>
        </w:tc>
      </w:tr>
      <w:tr w:rsidR="00BA0730" w14:paraId="09CCC0FF" w14:textId="77777777">
        <w:trPr>
          <w:jc w:val="center"/>
        </w:trPr>
        <w:tc>
          <w:tcPr>
            <w:tcW w:w="2142" w:type="dxa"/>
          </w:tcPr>
          <w:p w14:paraId="119240A5" w14:textId="77777777" w:rsidR="00BA0730" w:rsidRDefault="00000000">
            <w:pPr>
              <w:rPr>
                <w:rFonts w:ascii="Arial" w:eastAsia="Arial" w:hAnsi="Arial" w:cs="Arial"/>
              </w:rPr>
            </w:pPr>
            <w:r>
              <w:rPr>
                <w:rFonts w:ascii="Arial" w:eastAsia="Arial" w:hAnsi="Arial" w:cs="Arial"/>
              </w:rPr>
              <w:t>Education and experience</w:t>
            </w:r>
          </w:p>
        </w:tc>
        <w:tc>
          <w:tcPr>
            <w:tcW w:w="7208" w:type="dxa"/>
          </w:tcPr>
          <w:p w14:paraId="32C6A5A0" w14:textId="77777777" w:rsidR="00BA0730" w:rsidRDefault="00000000">
            <w:pPr>
              <w:rPr>
                <w:rFonts w:ascii="Arial" w:eastAsia="Arial" w:hAnsi="Arial" w:cs="Arial"/>
              </w:rPr>
            </w:pPr>
            <w:r>
              <w:rPr>
                <w:rFonts w:ascii="Arial" w:eastAsia="Arial" w:hAnsi="Arial" w:cs="Arial"/>
              </w:rPr>
              <w:t>Degree or diploma in Data Science/Analytics, Statistics, Business Analytics, Marketing, Economics, Computer Science, Finance or a related field. Recommended 3+ years' analytics/reporting experience, preferably in marketing, media, agency or client advisory environments.</w:t>
            </w:r>
          </w:p>
        </w:tc>
      </w:tr>
      <w:tr w:rsidR="00BA0730" w14:paraId="3DD671AE" w14:textId="77777777">
        <w:trPr>
          <w:jc w:val="center"/>
        </w:trPr>
        <w:tc>
          <w:tcPr>
            <w:tcW w:w="2142" w:type="dxa"/>
          </w:tcPr>
          <w:p w14:paraId="0F14B043" w14:textId="77777777" w:rsidR="00BA0730" w:rsidRDefault="00000000">
            <w:pPr>
              <w:rPr>
                <w:rFonts w:ascii="Arial" w:eastAsia="Arial" w:hAnsi="Arial" w:cs="Arial"/>
              </w:rPr>
            </w:pPr>
            <w:r>
              <w:rPr>
                <w:rFonts w:ascii="Arial" w:eastAsia="Arial" w:hAnsi="Arial" w:cs="Arial"/>
              </w:rPr>
              <w:t>Technical capability</w:t>
            </w:r>
          </w:p>
        </w:tc>
        <w:tc>
          <w:tcPr>
            <w:tcW w:w="7208" w:type="dxa"/>
          </w:tcPr>
          <w:p w14:paraId="27BAA19B" w14:textId="77777777" w:rsidR="00BA0730" w:rsidRDefault="00000000">
            <w:pPr>
              <w:rPr>
                <w:rFonts w:ascii="Arial" w:eastAsia="Arial" w:hAnsi="Arial" w:cs="Arial"/>
              </w:rPr>
            </w:pPr>
            <w:r>
              <w:rPr>
                <w:rFonts w:ascii="Arial" w:eastAsia="Arial" w:hAnsi="Arial" w:cs="Arial"/>
              </w:rPr>
              <w:t xml:space="preserve">Strong Excel/Google Sheets Analytic Platforms Knowledge, data cleaning, dashboarding, </w:t>
            </w:r>
            <w:proofErr w:type="spellStart"/>
            <w:r>
              <w:rPr>
                <w:rFonts w:ascii="Arial" w:eastAsia="Arial" w:hAnsi="Arial" w:cs="Arial"/>
              </w:rPr>
              <w:t>visualisation</w:t>
            </w:r>
            <w:proofErr w:type="spellEnd"/>
            <w:r>
              <w:rPr>
                <w:rFonts w:ascii="Arial" w:eastAsia="Arial" w:hAnsi="Arial" w:cs="Arial"/>
              </w:rPr>
              <w:t>, statistical thinking, data interpretation and reporting skills. SQL, Python or R is an added advantage.</w:t>
            </w:r>
          </w:p>
        </w:tc>
      </w:tr>
      <w:tr w:rsidR="00BA0730" w14:paraId="2DE22C2F" w14:textId="77777777">
        <w:trPr>
          <w:jc w:val="center"/>
        </w:trPr>
        <w:tc>
          <w:tcPr>
            <w:tcW w:w="2142" w:type="dxa"/>
          </w:tcPr>
          <w:p w14:paraId="66D3E6CB" w14:textId="77777777" w:rsidR="00BA0730" w:rsidRDefault="00000000">
            <w:pPr>
              <w:rPr>
                <w:rFonts w:ascii="Arial" w:eastAsia="Arial" w:hAnsi="Arial" w:cs="Arial"/>
              </w:rPr>
            </w:pPr>
            <w:r>
              <w:rPr>
                <w:rFonts w:ascii="Arial" w:eastAsia="Arial" w:hAnsi="Arial" w:cs="Arial"/>
              </w:rPr>
              <w:t>Marketing analytics</w:t>
            </w:r>
          </w:p>
        </w:tc>
        <w:tc>
          <w:tcPr>
            <w:tcW w:w="7208" w:type="dxa"/>
          </w:tcPr>
          <w:p w14:paraId="6A49D7A1" w14:textId="77777777" w:rsidR="00BA0730" w:rsidRDefault="00000000">
            <w:pPr>
              <w:rPr>
                <w:rFonts w:ascii="Arial" w:eastAsia="Arial" w:hAnsi="Arial" w:cs="Arial"/>
              </w:rPr>
            </w:pPr>
            <w:r>
              <w:rPr>
                <w:rFonts w:ascii="Arial" w:eastAsia="Arial" w:hAnsi="Arial" w:cs="Arial"/>
              </w:rPr>
              <w:t>Good understanding of digital campaign metrics, GA4, social analytics, paid media reports, website analytics, PR/media metrics, influencer metrics, lead funnels and campaign attribution limitations.</w:t>
            </w:r>
          </w:p>
        </w:tc>
      </w:tr>
      <w:tr w:rsidR="00BA0730" w14:paraId="4E68D415" w14:textId="77777777">
        <w:trPr>
          <w:jc w:val="center"/>
        </w:trPr>
        <w:tc>
          <w:tcPr>
            <w:tcW w:w="2142" w:type="dxa"/>
          </w:tcPr>
          <w:p w14:paraId="58C5C1BE" w14:textId="77777777" w:rsidR="00BA0730" w:rsidRDefault="00000000">
            <w:pPr>
              <w:rPr>
                <w:rFonts w:ascii="Arial" w:eastAsia="Arial" w:hAnsi="Arial" w:cs="Arial"/>
              </w:rPr>
            </w:pPr>
            <w:r>
              <w:rPr>
                <w:rFonts w:ascii="Arial" w:eastAsia="Arial" w:hAnsi="Arial" w:cs="Arial"/>
              </w:rPr>
              <w:t>Business communication</w:t>
            </w:r>
          </w:p>
        </w:tc>
        <w:tc>
          <w:tcPr>
            <w:tcW w:w="7208" w:type="dxa"/>
          </w:tcPr>
          <w:p w14:paraId="35A6787B" w14:textId="77777777" w:rsidR="00BA0730" w:rsidRDefault="00000000">
            <w:pPr>
              <w:rPr>
                <w:rFonts w:ascii="Arial" w:eastAsia="Arial" w:hAnsi="Arial" w:cs="Arial"/>
              </w:rPr>
            </w:pPr>
            <w:r>
              <w:rPr>
                <w:rFonts w:ascii="Arial" w:eastAsia="Arial" w:hAnsi="Arial" w:cs="Arial"/>
              </w:rPr>
              <w:t>Ability to explain technical findings in simple management language, create clean visuals and distinguish activity, output, outcome and commercial impact.</w:t>
            </w:r>
          </w:p>
        </w:tc>
      </w:tr>
      <w:tr w:rsidR="00BA0730" w14:paraId="00984C90" w14:textId="77777777">
        <w:trPr>
          <w:jc w:val="center"/>
        </w:trPr>
        <w:tc>
          <w:tcPr>
            <w:tcW w:w="2142" w:type="dxa"/>
          </w:tcPr>
          <w:p w14:paraId="269D1BD2" w14:textId="77777777" w:rsidR="00BA0730" w:rsidRDefault="00000000">
            <w:pPr>
              <w:rPr>
                <w:rFonts w:ascii="Arial" w:eastAsia="Arial" w:hAnsi="Arial" w:cs="Arial"/>
              </w:rPr>
            </w:pPr>
            <w:r>
              <w:rPr>
                <w:rFonts w:ascii="Arial" w:eastAsia="Arial" w:hAnsi="Arial" w:cs="Arial"/>
              </w:rPr>
              <w:t>Tools and systems</w:t>
            </w:r>
          </w:p>
        </w:tc>
        <w:tc>
          <w:tcPr>
            <w:tcW w:w="7208" w:type="dxa"/>
          </w:tcPr>
          <w:p w14:paraId="74411A3B" w14:textId="77777777" w:rsidR="00BA0730" w:rsidRDefault="00000000">
            <w:pPr>
              <w:rPr>
                <w:rFonts w:ascii="Arial" w:eastAsia="Arial" w:hAnsi="Arial" w:cs="Arial"/>
              </w:rPr>
            </w:pPr>
            <w:r>
              <w:rPr>
                <w:rFonts w:ascii="Arial" w:eastAsia="Arial" w:hAnsi="Arial" w:cs="Arial"/>
              </w:rPr>
              <w:t>Experience with Looker Studio, Power BI or similar BI tools; GA4; platform dashboards; CRM exports; social analytics; project tracking tools; and responsible AI-enabled data support.</w:t>
            </w:r>
          </w:p>
        </w:tc>
      </w:tr>
      <w:tr w:rsidR="00BA0730" w14:paraId="05341B04" w14:textId="77777777">
        <w:trPr>
          <w:jc w:val="center"/>
        </w:trPr>
        <w:tc>
          <w:tcPr>
            <w:tcW w:w="2142" w:type="dxa"/>
          </w:tcPr>
          <w:p w14:paraId="6DBDDEFE" w14:textId="77777777" w:rsidR="00BA0730" w:rsidRDefault="00000000">
            <w:pPr>
              <w:rPr>
                <w:rFonts w:ascii="Arial" w:eastAsia="Arial" w:hAnsi="Arial" w:cs="Arial"/>
              </w:rPr>
            </w:pPr>
            <w:r>
              <w:rPr>
                <w:rFonts w:ascii="Arial" w:eastAsia="Arial" w:hAnsi="Arial" w:cs="Arial"/>
              </w:rPr>
              <w:t>Governance and ethics</w:t>
            </w:r>
          </w:p>
        </w:tc>
        <w:tc>
          <w:tcPr>
            <w:tcW w:w="7208" w:type="dxa"/>
          </w:tcPr>
          <w:p w14:paraId="28209656" w14:textId="77777777" w:rsidR="00BA0730" w:rsidRDefault="00000000">
            <w:pPr>
              <w:rPr>
                <w:rFonts w:ascii="Arial" w:eastAsia="Arial" w:hAnsi="Arial" w:cs="Arial"/>
              </w:rPr>
            </w:pPr>
            <w:r>
              <w:rPr>
                <w:rFonts w:ascii="Arial" w:eastAsia="Arial" w:hAnsi="Arial" w:cs="Arial"/>
              </w:rPr>
              <w:t>Strong attention to data privacy, confidentiality, source documentation, assumption disclosure, quality assurance and responsible use of client data.</w:t>
            </w:r>
          </w:p>
        </w:tc>
      </w:tr>
      <w:tr w:rsidR="00BA0730" w14:paraId="6913B439" w14:textId="77777777">
        <w:trPr>
          <w:jc w:val="center"/>
        </w:trPr>
        <w:tc>
          <w:tcPr>
            <w:tcW w:w="2142" w:type="dxa"/>
          </w:tcPr>
          <w:p w14:paraId="3AFD1DA7" w14:textId="77777777" w:rsidR="00BA0730" w:rsidRDefault="00000000">
            <w:pPr>
              <w:rPr>
                <w:rFonts w:ascii="Arial" w:eastAsia="Arial" w:hAnsi="Arial" w:cs="Arial"/>
              </w:rPr>
            </w:pPr>
            <w:r>
              <w:rPr>
                <w:rFonts w:ascii="Arial" w:eastAsia="Arial" w:hAnsi="Arial" w:cs="Arial"/>
              </w:rPr>
              <w:t>Core competencies</w:t>
            </w:r>
          </w:p>
        </w:tc>
        <w:tc>
          <w:tcPr>
            <w:tcW w:w="7208" w:type="dxa"/>
          </w:tcPr>
          <w:p w14:paraId="1B676829" w14:textId="77777777" w:rsidR="00BA0730" w:rsidRDefault="00000000">
            <w:pPr>
              <w:rPr>
                <w:rFonts w:ascii="Arial" w:eastAsia="Arial" w:hAnsi="Arial" w:cs="Arial"/>
              </w:rPr>
            </w:pPr>
            <w:r>
              <w:rPr>
                <w:rFonts w:ascii="Arial" w:eastAsia="Arial" w:hAnsi="Arial" w:cs="Arial"/>
              </w:rPr>
              <w:t>Curiosity, structured thinking, attention to detail, problem-solving, independence, collaboration, accuracy, commercial awareness and willingness to challenge weak assumptions respectfully.</w:t>
            </w:r>
          </w:p>
        </w:tc>
      </w:tr>
      <w:tr w:rsidR="00BA0730" w14:paraId="45259B30" w14:textId="77777777">
        <w:trPr>
          <w:jc w:val="center"/>
        </w:trPr>
        <w:tc>
          <w:tcPr>
            <w:tcW w:w="2142" w:type="dxa"/>
          </w:tcPr>
          <w:p w14:paraId="33F5EBEA" w14:textId="77777777" w:rsidR="00BA0730" w:rsidRDefault="00000000">
            <w:pPr>
              <w:rPr>
                <w:rFonts w:ascii="Arial" w:eastAsia="Arial" w:hAnsi="Arial" w:cs="Arial"/>
              </w:rPr>
            </w:pPr>
            <w:r>
              <w:rPr>
                <w:rFonts w:ascii="Arial" w:eastAsia="Arial" w:hAnsi="Arial" w:cs="Arial"/>
              </w:rPr>
              <w:t>TDM values fit</w:t>
            </w:r>
          </w:p>
        </w:tc>
        <w:tc>
          <w:tcPr>
            <w:tcW w:w="7208" w:type="dxa"/>
          </w:tcPr>
          <w:p w14:paraId="7C68377C" w14:textId="77777777" w:rsidR="00BA0730" w:rsidRDefault="00000000">
            <w:pPr>
              <w:rPr>
                <w:rFonts w:ascii="Arial" w:eastAsia="Arial" w:hAnsi="Arial" w:cs="Arial"/>
              </w:rPr>
            </w:pPr>
            <w:r>
              <w:rPr>
                <w:rFonts w:ascii="Arial" w:eastAsia="Arial" w:hAnsi="Arial" w:cs="Arial"/>
              </w:rPr>
              <w:t>Demonstrates authenticity through honest reporting, innovation through better measurement, courage through evidence-led recommendations, excellence through accuracy and empowerment through data literacy support.</w:t>
            </w:r>
          </w:p>
        </w:tc>
      </w:tr>
    </w:tbl>
    <w:p w14:paraId="4EBF661D" w14:textId="77777777" w:rsidR="00BA0730" w:rsidRDefault="00BA0730">
      <w:pPr>
        <w:spacing w:line="259" w:lineRule="auto"/>
        <w:jc w:val="both"/>
      </w:pPr>
    </w:p>
    <w:sectPr w:rsidR="00BA0730">
      <w:headerReference w:type="default" r:id="rId8"/>
      <w:footerReference w:type="default" r:id="rId9"/>
      <w:headerReference w:type="first" r:id="rId10"/>
      <w:footerReference w:type="first" r:id="rId11"/>
      <w:pgSz w:w="12240" w:h="15840"/>
      <w:pgMar w:top="2340" w:right="1440" w:bottom="1440" w:left="1440" w:header="720" w:footer="33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27EA8" w14:textId="77777777" w:rsidR="0095623D" w:rsidRDefault="0095623D">
      <w:pPr>
        <w:spacing w:line="240" w:lineRule="auto"/>
      </w:pPr>
      <w:r>
        <w:separator/>
      </w:r>
    </w:p>
  </w:endnote>
  <w:endnote w:type="continuationSeparator" w:id="0">
    <w:p w14:paraId="7AC5DD56" w14:textId="77777777" w:rsidR="0095623D" w:rsidRDefault="00956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5BA982-2A58-490B-B4E8-D96D7676C95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A55B569-89F8-4DFA-878D-E6E5E3545973}"/>
  </w:font>
  <w:font w:name="Montserrat">
    <w:charset w:val="00"/>
    <w:family w:val="auto"/>
    <w:pitch w:val="variable"/>
    <w:sig w:usb0="2000020F" w:usb1="00000003" w:usb2="00000000" w:usb3="00000000" w:csb0="00000197" w:csb1="00000000"/>
    <w:embedRegular r:id="rId3" w:fontKey="{98B35659-ADEB-40EF-90A0-D33EE85BFF7E}"/>
    <w:embedBold r:id="rId4" w:fontKey="{BCA7FACE-084F-4FCE-BD75-1673B99D0CE8}"/>
  </w:font>
  <w:font w:name="Calibri">
    <w:panose1 w:val="020F0502020204030204"/>
    <w:charset w:val="00"/>
    <w:family w:val="swiss"/>
    <w:pitch w:val="variable"/>
    <w:sig w:usb0="E4002EFF" w:usb1="C200247B" w:usb2="00000009" w:usb3="00000000" w:csb0="000001FF" w:csb1="00000000"/>
    <w:embedRegular r:id="rId5" w:fontKey="{1CF80819-F6F4-4411-9C7E-E19EADAA4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A72B" w14:textId="77777777" w:rsidR="00BA0730" w:rsidRDefault="00BA0730"/>
  <w:tbl>
    <w:tblPr>
      <w:tblStyle w:val="aa"/>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50CC94C2"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9C0200" w14:textId="77777777" w:rsidR="00BA0730" w:rsidRDefault="00000000">
          <w:pPr>
            <w:spacing w:line="240" w:lineRule="auto"/>
          </w:pPr>
          <w:r>
            <w:rPr>
              <w:noProof/>
            </w:rPr>
            <w:drawing>
              <wp:inline distT="114300" distB="114300" distL="114300" distR="114300" wp14:anchorId="21B1803D" wp14:editId="31916606">
                <wp:extent cx="401982" cy="4048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058A9F" w14:textId="77777777" w:rsidR="00BA0730" w:rsidRDefault="00000000">
          <w:pPr>
            <w:widowControl w:val="0"/>
            <w:spacing w:line="240" w:lineRule="auto"/>
            <w:rPr>
              <w:rFonts w:ascii="Montserrat" w:eastAsia="Montserrat" w:hAnsi="Montserrat" w:cs="Montserrat"/>
              <w:b/>
              <w:bCs/>
              <w:sz w:val="16"/>
              <w:szCs w:val="16"/>
            </w:rPr>
          </w:pPr>
          <w:proofErr w:type="spellStart"/>
          <w:r>
            <w:rPr>
              <w:rFonts w:ascii="Montserrat" w:eastAsia="Montserrat" w:hAnsi="Montserrat" w:cs="Montserrat"/>
              <w:b/>
              <w:bCs/>
              <w:sz w:val="16"/>
              <w:szCs w:val="16"/>
            </w:rPr>
            <w:t>Suit</w:t>
          </w:r>
          <w:proofErr w:type="spellEnd"/>
          <w:r>
            <w:rPr>
              <w:rFonts w:ascii="Montserrat" w:eastAsia="Montserrat" w:hAnsi="Montserrat" w:cs="Montserrat"/>
              <w:b/>
              <w:bCs/>
              <w:sz w:val="16"/>
              <w:szCs w:val="16"/>
            </w:rPr>
            <w:t xml:space="preserve"> 14, Pergola Flats</w:t>
          </w:r>
        </w:p>
        <w:p w14:paraId="17A3E0B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EF7B23"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203C10F" wp14:editId="55121DDC">
                <wp:extent cx="442913" cy="442913"/>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538DD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0A7607D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6D17918E"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37D53E"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31070B7" wp14:editId="18C0F69F">
                <wp:extent cx="438150" cy="393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FC91A7"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286C7D4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0DC1F6"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DC1F8F2" wp14:editId="557824D1">
                <wp:extent cx="395288" cy="39528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D6DFA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5D4F9323"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373B7A8" w14:textId="77777777" w:rsidR="00BA0730" w:rsidRDefault="00BA073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F78D" w14:textId="77777777" w:rsidR="00BA0730" w:rsidRDefault="00BA0730"/>
  <w:p w14:paraId="31AACAD1" w14:textId="77777777" w:rsidR="00BA0730" w:rsidRDefault="00BA0730"/>
  <w:tbl>
    <w:tblPr>
      <w:tblStyle w:val="ab"/>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3953B984"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3391AA" w14:textId="77777777" w:rsidR="00BA0730" w:rsidRDefault="00000000">
          <w:pPr>
            <w:spacing w:line="240" w:lineRule="auto"/>
          </w:pPr>
          <w:r>
            <w:rPr>
              <w:noProof/>
            </w:rPr>
            <w:drawing>
              <wp:inline distT="114300" distB="114300" distL="114300" distR="114300" wp14:anchorId="5C39429E" wp14:editId="1BBD96BF">
                <wp:extent cx="401982" cy="40481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67E326"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Suite 14, Pergola Flats,</w:t>
          </w:r>
        </w:p>
        <w:p w14:paraId="0D821215"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p w14:paraId="51FC795C" w14:textId="77777777" w:rsidR="00BA0730" w:rsidRDefault="00BA0730">
          <w:pPr>
            <w:rPr>
              <w:rFonts w:ascii="Montserrat" w:eastAsia="Montserrat" w:hAnsi="Montserrat" w:cs="Montserrat"/>
              <w:b/>
              <w:bCs/>
              <w:sz w:val="16"/>
              <w:szCs w:val="16"/>
            </w:rPr>
          </w:pPr>
        </w:p>
        <w:p w14:paraId="5DC88E12" w14:textId="77777777" w:rsidR="00BA0730" w:rsidRDefault="00BA0730">
          <w:pPr>
            <w:rPr>
              <w:rFonts w:ascii="Montserrat" w:eastAsia="Montserrat" w:hAnsi="Montserrat" w:cs="Montserrat"/>
              <w:sz w:val="16"/>
              <w:szCs w:val="16"/>
            </w:rPr>
          </w:pP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FF2599"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534CCDB7" wp14:editId="447CC564">
                <wp:extent cx="442913" cy="442913"/>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524F59"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44BAF16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52CC0815"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5EFDA5"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01AD53FD" wp14:editId="717BCF66">
                <wp:extent cx="438150" cy="393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3591FC"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752E51E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07FCC8"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5D068A1" wp14:editId="174ABA8A">
                <wp:extent cx="395288" cy="395288"/>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79489F"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75E3A592"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C00D0F2" w14:textId="77777777" w:rsidR="00BA0730" w:rsidRDefault="00BA07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26B5" w14:textId="77777777" w:rsidR="0095623D" w:rsidRDefault="0095623D">
      <w:pPr>
        <w:spacing w:line="240" w:lineRule="auto"/>
      </w:pPr>
      <w:r>
        <w:separator/>
      </w:r>
    </w:p>
  </w:footnote>
  <w:footnote w:type="continuationSeparator" w:id="0">
    <w:p w14:paraId="68BB4E91" w14:textId="77777777" w:rsidR="0095623D" w:rsidRDefault="00956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A5ED" w14:textId="77777777" w:rsidR="00BA0730" w:rsidRDefault="00BA0730"/>
  <w:tbl>
    <w:tblPr>
      <w:tblStyle w:val="a8"/>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477B1592" w14:textId="77777777">
      <w:tc>
        <w:tcPr>
          <w:tcW w:w="5625" w:type="dxa"/>
          <w:tcBorders>
            <w:top w:val="nil"/>
            <w:left w:val="nil"/>
            <w:bottom w:val="nil"/>
            <w:right w:val="nil"/>
          </w:tcBorders>
          <w:tcMar>
            <w:top w:w="100" w:type="dxa"/>
            <w:left w:w="100" w:type="dxa"/>
            <w:bottom w:w="100" w:type="dxa"/>
            <w:right w:w="100" w:type="dxa"/>
          </w:tcMar>
        </w:tcPr>
        <w:p w14:paraId="7F4F64BD" w14:textId="77777777" w:rsidR="00BA0730" w:rsidRDefault="00000000">
          <w:pPr>
            <w:widowControl w:val="0"/>
            <w:spacing w:line="240" w:lineRule="auto"/>
          </w:pPr>
          <w:r>
            <w:rPr>
              <w:noProof/>
            </w:rPr>
            <w:drawing>
              <wp:inline distT="114300" distB="114300" distL="114300" distR="114300" wp14:anchorId="561095C0" wp14:editId="554DB8A5">
                <wp:extent cx="1652588" cy="62194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52588" cy="621942"/>
                        </a:xfrm>
                        <a:prstGeom prst="rect">
                          <a:avLst/>
                        </a:prstGeom>
                        <a:ln/>
                      </pic:spPr>
                    </pic:pic>
                  </a:graphicData>
                </a:graphic>
              </wp:inline>
            </w:drawing>
          </w:r>
        </w:p>
      </w:tc>
      <w:tc>
        <w:tcPr>
          <w:tcW w:w="5730" w:type="dxa"/>
          <w:tcBorders>
            <w:top w:val="nil"/>
            <w:left w:val="nil"/>
            <w:bottom w:val="nil"/>
            <w:right w:val="nil"/>
          </w:tcBorders>
          <w:tcMar>
            <w:top w:w="100" w:type="dxa"/>
            <w:left w:w="100" w:type="dxa"/>
            <w:bottom w:w="100" w:type="dxa"/>
            <w:right w:w="100" w:type="dxa"/>
          </w:tcMar>
        </w:tcPr>
        <w:p w14:paraId="23D8993A"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57F7512A" w14:textId="77777777" w:rsidR="00BA0730" w:rsidRDefault="00BA07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52C2" w14:textId="77777777" w:rsidR="00BA0730" w:rsidRDefault="00000000">
    <w:r>
      <w:rPr>
        <w:noProof/>
      </w:rPr>
      <w:drawing>
        <wp:anchor distT="114300" distB="114300" distL="114300" distR="114300" simplePos="0" relativeHeight="251658240" behindDoc="0" locked="0" layoutInCell="1" hidden="0" allowOverlap="1" wp14:anchorId="7D295C02" wp14:editId="36BBC31F">
          <wp:simplePos x="0" y="0"/>
          <wp:positionH relativeFrom="column">
            <wp:posOffset>-319080</wp:posOffset>
          </wp:positionH>
          <wp:positionV relativeFrom="paragraph">
            <wp:posOffset>-72066</wp:posOffset>
          </wp:positionV>
          <wp:extent cx="1719263" cy="64357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9263" cy="643574"/>
                  </a:xfrm>
                  <a:prstGeom prst="rect">
                    <a:avLst/>
                  </a:prstGeom>
                  <a:ln/>
                </pic:spPr>
              </pic:pic>
            </a:graphicData>
          </a:graphic>
        </wp:anchor>
      </w:drawing>
    </w:r>
  </w:p>
  <w:tbl>
    <w:tblPr>
      <w:tblStyle w:val="a9"/>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342548D3" w14:textId="77777777">
      <w:tc>
        <w:tcPr>
          <w:tcW w:w="5625" w:type="dxa"/>
          <w:tcBorders>
            <w:top w:val="nil"/>
            <w:left w:val="nil"/>
            <w:bottom w:val="nil"/>
            <w:right w:val="nil"/>
          </w:tcBorders>
          <w:tcMar>
            <w:top w:w="100" w:type="dxa"/>
            <w:left w:w="100" w:type="dxa"/>
            <w:bottom w:w="100" w:type="dxa"/>
            <w:right w:w="100" w:type="dxa"/>
          </w:tcMar>
        </w:tcPr>
        <w:p w14:paraId="3B28A90E" w14:textId="77777777" w:rsidR="00BA0730" w:rsidRDefault="00BA0730">
          <w:pPr>
            <w:widowControl w:val="0"/>
            <w:spacing w:line="240" w:lineRule="auto"/>
          </w:pPr>
        </w:p>
      </w:tc>
      <w:tc>
        <w:tcPr>
          <w:tcW w:w="5730" w:type="dxa"/>
          <w:tcBorders>
            <w:top w:val="nil"/>
            <w:left w:val="nil"/>
            <w:bottom w:val="nil"/>
            <w:right w:val="nil"/>
          </w:tcBorders>
          <w:tcMar>
            <w:top w:w="100" w:type="dxa"/>
            <w:left w:w="100" w:type="dxa"/>
            <w:bottom w:w="100" w:type="dxa"/>
            <w:right w:w="100" w:type="dxa"/>
          </w:tcMar>
        </w:tcPr>
        <w:p w14:paraId="21EA49FE"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15679F4C" w14:textId="77777777" w:rsidR="00BA0730" w:rsidRDefault="00BA07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39CA"/>
    <w:multiLevelType w:val="multilevel"/>
    <w:tmpl w:val="EA52E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9956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30"/>
    <w:rsid w:val="00055C64"/>
    <w:rsid w:val="000A7BC5"/>
    <w:rsid w:val="000F31DE"/>
    <w:rsid w:val="000F5E71"/>
    <w:rsid w:val="004C3E77"/>
    <w:rsid w:val="0070531D"/>
    <w:rsid w:val="008851E0"/>
    <w:rsid w:val="0095623D"/>
    <w:rsid w:val="00BA0730"/>
    <w:rsid w:val="00FE7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2033"/>
  <w15:docId w15:val="{EDB6F76C-A6FA-4647-BFDD-54885638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P9ZMmNNR2ceN228G+umdhys+w==">CgMxLjAyDmguZDNnenVyZWkydWNlMg5oLnk1dzducWloOXFhYTIOaC5nOTQ2c3gxZzZnNjQyDmguMXlhNHV3eWhyaTJwMg5oLmNoZThycm9zem96aTIOaC5pbnltMDBoc3dnc3YyDmgucjdoOG10bHZjbDdiMg5oLnJpemJpZTQ1eTU2cTIOaC4xYzl1cTBld25sYzQyDmgucXFpOHU1eXh5cmRpMg5oLjgzYTExbmpicTZlNjINaC5mczN2ZDB6a21zdTIOaC5zZWtpZjdsaGM4czMyDmguamNkbnBoaHZib2c3Mg5oLmxhZXNidm8zNnZsdzIOaC5sMnJubDByZHRzbXcyDmgubDUxYjF5amVkYWdjMg5oLnlkbjltampxNDh5MDIOaC5sNWJocmFjdG55ZnYyDmgucm5vMHc1b2twcnEyOAByITFmU2VVbEdMUUNYUUtkV1dyMmpZS1BZVmk1R3Rzc2V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1917</Words>
  <Characters>10928</Characters>
  <Application>Microsoft Office Word</Application>
  <DocSecurity>0</DocSecurity>
  <Lines>91</Lines>
  <Paragraphs>25</Paragraphs>
  <ScaleCrop>false</ScaleCrop>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2026-07-10T03:08:00Z</dcterms:created>
  <dcterms:modified xsi:type="dcterms:W3CDTF">2026-07-10T03:09:00Z</dcterms:modified>
</cp:coreProperties>
</file>