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513F1" w14:textId="33860FCC" w:rsidR="00BA0730" w:rsidRDefault="00000000">
      <w:pPr>
        <w:pStyle w:val="Heading1"/>
        <w:spacing w:before="160" w:after="80"/>
        <w:rPr>
          <w:sz w:val="22"/>
          <w:szCs w:val="22"/>
        </w:rPr>
      </w:pPr>
      <w:r>
        <w:rPr>
          <w:b/>
          <w:bCs/>
          <w:color w:val="005F82"/>
          <w:sz w:val="22"/>
          <w:szCs w:val="22"/>
        </w:rPr>
        <w:t>Job Description: PR Account Manager</w:t>
      </w:r>
    </w:p>
    <w:p w14:paraId="16EAE8BC" w14:textId="77777777" w:rsidR="00BA0730" w:rsidRDefault="00000000">
      <w:pPr>
        <w:pStyle w:val="Heading2"/>
        <w:spacing w:before="80" w:after="80"/>
        <w:rPr>
          <w:sz w:val="22"/>
          <w:szCs w:val="22"/>
        </w:rPr>
      </w:pPr>
      <w:bookmarkStart w:id="0" w:name="_heading=h.1ya4uwyhri2p" w:colFirst="0" w:colLast="0"/>
      <w:bookmarkEnd w:id="0"/>
      <w:r>
        <w:rPr>
          <w:b/>
          <w:bCs/>
          <w:color w:val="005F82"/>
          <w:sz w:val="22"/>
          <w:szCs w:val="22"/>
        </w:rPr>
        <w:t>Job Title</w:t>
      </w:r>
    </w:p>
    <w:p w14:paraId="4CEF223A" w14:textId="77777777" w:rsidR="00BA0730" w:rsidRDefault="00000000">
      <w:pPr>
        <w:spacing w:after="120" w:line="259" w:lineRule="auto"/>
        <w:jc w:val="both"/>
      </w:pPr>
      <w:r>
        <w:t>PR Account Manager</w:t>
      </w:r>
    </w:p>
    <w:p w14:paraId="0D00F22D" w14:textId="77777777" w:rsidR="00BA0730" w:rsidRDefault="00000000">
      <w:pPr>
        <w:pStyle w:val="Heading2"/>
        <w:spacing w:before="80" w:after="80"/>
        <w:rPr>
          <w:sz w:val="22"/>
          <w:szCs w:val="22"/>
        </w:rPr>
      </w:pPr>
      <w:bookmarkStart w:id="1" w:name="_heading=h.che8rroszozi" w:colFirst="0" w:colLast="0"/>
      <w:bookmarkEnd w:id="1"/>
      <w:r>
        <w:rPr>
          <w:b/>
          <w:bCs/>
          <w:color w:val="005F82"/>
          <w:sz w:val="22"/>
          <w:szCs w:val="22"/>
        </w:rPr>
        <w:t>Role Description / Summary</w:t>
      </w:r>
    </w:p>
    <w:p w14:paraId="7857596C" w14:textId="77777777" w:rsidR="00BA0730" w:rsidRDefault="00000000">
      <w:pPr>
        <w:spacing w:after="120" w:line="259" w:lineRule="auto"/>
        <w:jc w:val="both"/>
      </w:pPr>
      <w:r>
        <w:t xml:space="preserve">The PR Account Manager will build and manage TDM's in-house public relations capability, ensuring that client communication </w:t>
      </w:r>
      <w:proofErr w:type="spellStart"/>
      <w:r>
        <w:t>programmes</w:t>
      </w:r>
      <w:proofErr w:type="spellEnd"/>
      <w:r>
        <w:t xml:space="preserve"> are strategic, credible, well-executed, measurable and aligned to broader digital, creative and media campaigns. The role is responsible for PR strategy, media relations, reputation management, stakeholder communications, campaign execution, quality control and client advisory support. The role must strengthen TDM's position as a problem-solving agency by moving PR from activity-based execution to insight-led client results, client retention, retainer growth and new business contribution.</w:t>
      </w:r>
    </w:p>
    <w:p w14:paraId="4A0E8376" w14:textId="77777777" w:rsidR="00BA0730" w:rsidRDefault="00000000">
      <w:pPr>
        <w:pStyle w:val="Heading2"/>
        <w:spacing w:before="80" w:after="80"/>
        <w:rPr>
          <w:sz w:val="22"/>
          <w:szCs w:val="22"/>
        </w:rPr>
      </w:pPr>
      <w:bookmarkStart w:id="2" w:name="_heading=h.inym00hswgsv" w:colFirst="0" w:colLast="0"/>
      <w:bookmarkEnd w:id="2"/>
      <w:r>
        <w:rPr>
          <w:b/>
          <w:bCs/>
          <w:color w:val="005F82"/>
          <w:sz w:val="22"/>
          <w:szCs w:val="22"/>
        </w:rPr>
        <w:t>Key Responsibilities</w:t>
      </w:r>
    </w:p>
    <w:p w14:paraId="29D63031" w14:textId="77777777" w:rsidR="00BA0730" w:rsidRDefault="00000000">
      <w:pPr>
        <w:numPr>
          <w:ilvl w:val="0"/>
          <w:numId w:val="1"/>
        </w:numPr>
        <w:pBdr>
          <w:top w:val="nil"/>
          <w:left w:val="nil"/>
          <w:bottom w:val="nil"/>
          <w:right w:val="nil"/>
          <w:between w:val="nil"/>
        </w:pBdr>
        <w:spacing w:line="252" w:lineRule="auto"/>
        <w:jc w:val="both"/>
      </w:pPr>
      <w:r>
        <w:rPr>
          <w:color w:val="000000"/>
        </w:rPr>
        <w:t>Develop PR strategies, messaging frameworks, press office plans and campaign communication plans aligned to approved client briefs, objectives, budgets and timelines.</w:t>
      </w:r>
    </w:p>
    <w:p w14:paraId="190397FA" w14:textId="77777777" w:rsidR="00BA0730" w:rsidRDefault="00000000">
      <w:pPr>
        <w:numPr>
          <w:ilvl w:val="0"/>
          <w:numId w:val="1"/>
        </w:numPr>
        <w:pBdr>
          <w:top w:val="nil"/>
          <w:left w:val="nil"/>
          <w:bottom w:val="nil"/>
          <w:right w:val="nil"/>
          <w:between w:val="nil"/>
        </w:pBdr>
        <w:spacing w:line="252" w:lineRule="auto"/>
        <w:jc w:val="both"/>
      </w:pPr>
      <w:r>
        <w:rPr>
          <w:color w:val="000000"/>
        </w:rPr>
        <w:t>Lead media relations across print, broadcast, online, business, lifestyle, sector and niche media, including building and maintaining credible journalist, editor, producer, influencer and stakeholder relationships.</w:t>
      </w:r>
    </w:p>
    <w:p w14:paraId="39EA12EF" w14:textId="77777777" w:rsidR="00BA0730" w:rsidRDefault="00000000">
      <w:pPr>
        <w:numPr>
          <w:ilvl w:val="0"/>
          <w:numId w:val="1"/>
        </w:numPr>
        <w:pBdr>
          <w:top w:val="nil"/>
          <w:left w:val="nil"/>
          <w:bottom w:val="nil"/>
          <w:right w:val="nil"/>
          <w:between w:val="nil"/>
        </w:pBdr>
        <w:spacing w:line="252" w:lineRule="auto"/>
        <w:jc w:val="both"/>
      </w:pPr>
      <w:r>
        <w:rPr>
          <w:color w:val="000000"/>
        </w:rPr>
        <w:t>Prepare, review and quality-assure press releases, media advisories, statements, opinion pieces, speeches, media briefs, FAQs, holding statements, PR reports and stakeholder communication materials.</w:t>
      </w:r>
    </w:p>
    <w:p w14:paraId="63E52EBE" w14:textId="77777777" w:rsidR="00BA0730" w:rsidRDefault="00000000">
      <w:pPr>
        <w:numPr>
          <w:ilvl w:val="0"/>
          <w:numId w:val="1"/>
        </w:numPr>
        <w:pBdr>
          <w:top w:val="nil"/>
          <w:left w:val="nil"/>
          <w:bottom w:val="nil"/>
          <w:right w:val="nil"/>
          <w:between w:val="nil"/>
        </w:pBdr>
        <w:spacing w:line="252" w:lineRule="auto"/>
        <w:jc w:val="both"/>
      </w:pPr>
      <w:r>
        <w:rPr>
          <w:color w:val="000000"/>
        </w:rPr>
        <w:t>Plan and execute PR activations including launches, press briefings, interviews, roundtables, media tours, partnership announcements and reputation-building campaigns.</w:t>
      </w:r>
    </w:p>
    <w:p w14:paraId="6A3F19A5" w14:textId="77777777" w:rsidR="00BA0730" w:rsidRDefault="00000000">
      <w:pPr>
        <w:numPr>
          <w:ilvl w:val="0"/>
          <w:numId w:val="1"/>
        </w:numPr>
        <w:pBdr>
          <w:top w:val="nil"/>
          <w:left w:val="nil"/>
          <w:bottom w:val="nil"/>
          <w:right w:val="nil"/>
          <w:between w:val="nil"/>
        </w:pBdr>
        <w:spacing w:line="252" w:lineRule="auto"/>
        <w:jc w:val="both"/>
      </w:pPr>
      <w:r>
        <w:rPr>
          <w:color w:val="000000"/>
        </w:rPr>
        <w:t>Advise Digital, Client Service and Creative teams on PR scope, risk, timelines, approval requirements, media realities and crisis considerations before client commitments are made.</w:t>
      </w:r>
    </w:p>
    <w:p w14:paraId="11C7BAFE" w14:textId="77777777" w:rsidR="00BA0730" w:rsidRDefault="00000000">
      <w:pPr>
        <w:numPr>
          <w:ilvl w:val="0"/>
          <w:numId w:val="1"/>
        </w:numPr>
        <w:pBdr>
          <w:top w:val="nil"/>
          <w:left w:val="nil"/>
          <w:bottom w:val="nil"/>
          <w:right w:val="nil"/>
          <w:between w:val="nil"/>
        </w:pBdr>
        <w:spacing w:line="252" w:lineRule="auto"/>
        <w:jc w:val="both"/>
      </w:pPr>
      <w:r>
        <w:rPr>
          <w:color w:val="000000"/>
        </w:rPr>
        <w:t>Manage PR account timelines, status sheets, issue logs, approvals, client updates and internal coordination in line with TDM's formal briefing, approval and SLA processes.</w:t>
      </w:r>
    </w:p>
    <w:p w14:paraId="365D52E7" w14:textId="77777777" w:rsidR="00BA0730" w:rsidRDefault="00000000">
      <w:pPr>
        <w:numPr>
          <w:ilvl w:val="0"/>
          <w:numId w:val="1"/>
        </w:numPr>
        <w:pBdr>
          <w:top w:val="nil"/>
          <w:left w:val="nil"/>
          <w:bottom w:val="nil"/>
          <w:right w:val="nil"/>
          <w:between w:val="nil"/>
        </w:pBdr>
        <w:spacing w:line="252" w:lineRule="auto"/>
        <w:jc w:val="both"/>
      </w:pPr>
      <w:r>
        <w:rPr>
          <w:color w:val="000000"/>
        </w:rPr>
        <w:t>Monitor media coverage, sentiment, share of voice, message pull-through, reputational risks and competitor activity; convert findings into client-ready insights and recommendations.</w:t>
      </w:r>
    </w:p>
    <w:p w14:paraId="35423D56" w14:textId="77777777" w:rsidR="00BA0730" w:rsidRDefault="00000000">
      <w:pPr>
        <w:numPr>
          <w:ilvl w:val="0"/>
          <w:numId w:val="1"/>
        </w:numPr>
        <w:pBdr>
          <w:top w:val="nil"/>
          <w:left w:val="nil"/>
          <w:bottom w:val="nil"/>
          <w:right w:val="nil"/>
          <w:between w:val="nil"/>
        </w:pBdr>
        <w:spacing w:line="252" w:lineRule="auto"/>
        <w:jc w:val="both"/>
      </w:pPr>
      <w:r>
        <w:rPr>
          <w:color w:val="000000"/>
        </w:rPr>
        <w:t>Support crisis communication, escalation planning and rapid response through factual assessment, issue tracking, message control and clear internal decision routes.</w:t>
      </w:r>
    </w:p>
    <w:p w14:paraId="4937E8C7" w14:textId="77777777" w:rsidR="00BA0730" w:rsidRDefault="00000000">
      <w:pPr>
        <w:numPr>
          <w:ilvl w:val="0"/>
          <w:numId w:val="1"/>
        </w:numPr>
        <w:pBdr>
          <w:top w:val="nil"/>
          <w:left w:val="nil"/>
          <w:bottom w:val="nil"/>
          <w:right w:val="nil"/>
          <w:between w:val="nil"/>
        </w:pBdr>
        <w:spacing w:line="252" w:lineRule="auto"/>
        <w:jc w:val="both"/>
      </w:pPr>
      <w:r>
        <w:rPr>
          <w:color w:val="000000"/>
        </w:rPr>
        <w:t>Support proposals, pitches, PR retainers and integrated campaign ideas that can help TDM grow client accounts and expand into 360-degree agency services.</w:t>
      </w:r>
    </w:p>
    <w:p w14:paraId="00EA00A6" w14:textId="77777777" w:rsidR="00BA0730" w:rsidRDefault="00000000">
      <w:pPr>
        <w:numPr>
          <w:ilvl w:val="0"/>
          <w:numId w:val="1"/>
        </w:numPr>
        <w:pBdr>
          <w:top w:val="nil"/>
          <w:left w:val="nil"/>
          <w:bottom w:val="nil"/>
          <w:right w:val="nil"/>
          <w:between w:val="nil"/>
        </w:pBdr>
        <w:spacing w:after="40" w:line="252" w:lineRule="auto"/>
        <w:jc w:val="both"/>
      </w:pPr>
      <w:r>
        <w:rPr>
          <w:color w:val="000000"/>
        </w:rPr>
        <w:t>Ensure all work is delivered with TDM's standards of preparation, accountability, quality, professionalism, compliance and client-facing discipline.</w:t>
      </w:r>
    </w:p>
    <w:p w14:paraId="2C27986D" w14:textId="77777777" w:rsidR="00BA0730" w:rsidRDefault="00BA0730">
      <w:pPr>
        <w:pStyle w:val="Heading2"/>
        <w:spacing w:before="80" w:after="80"/>
        <w:rPr>
          <w:b/>
          <w:bCs/>
          <w:color w:val="005F82"/>
          <w:sz w:val="22"/>
          <w:szCs w:val="22"/>
        </w:rPr>
      </w:pPr>
      <w:bookmarkStart w:id="3" w:name="_heading=h.r7h8mtlvcl7b" w:colFirst="0" w:colLast="0"/>
      <w:bookmarkEnd w:id="3"/>
    </w:p>
    <w:p w14:paraId="060F6951" w14:textId="77777777" w:rsidR="00BA0730" w:rsidRDefault="00000000">
      <w:pPr>
        <w:pStyle w:val="Heading2"/>
        <w:spacing w:before="80" w:after="80"/>
        <w:rPr>
          <w:sz w:val="22"/>
          <w:szCs w:val="22"/>
        </w:rPr>
      </w:pPr>
      <w:r>
        <w:rPr>
          <w:b/>
          <w:bCs/>
          <w:color w:val="005F82"/>
          <w:sz w:val="22"/>
          <w:szCs w:val="22"/>
        </w:rPr>
        <w:t>KPIs</w:t>
      </w:r>
    </w:p>
    <w:tbl>
      <w:tblPr>
        <w:tblStyle w:val="a0"/>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209"/>
        <w:gridCol w:w="2793"/>
        <w:gridCol w:w="3438"/>
        <w:gridCol w:w="910"/>
      </w:tblGrid>
      <w:tr w:rsidR="00BA0730" w14:paraId="1322A389" w14:textId="77777777">
        <w:trPr>
          <w:tblHeader/>
          <w:jc w:val="center"/>
        </w:trPr>
        <w:tc>
          <w:tcPr>
            <w:tcW w:w="2209" w:type="dxa"/>
            <w:shd w:val="clear" w:color="auto" w:fill="005F82"/>
            <w:vAlign w:val="center"/>
          </w:tcPr>
          <w:p w14:paraId="1847EDA1" w14:textId="77777777" w:rsidR="00BA0730" w:rsidRDefault="00000000">
            <w:pPr>
              <w:jc w:val="center"/>
              <w:rPr>
                <w:rFonts w:ascii="Arial" w:eastAsia="Arial" w:hAnsi="Arial" w:cs="Arial"/>
              </w:rPr>
            </w:pPr>
            <w:r>
              <w:rPr>
                <w:rFonts w:ascii="Arial" w:eastAsia="Arial" w:hAnsi="Arial" w:cs="Arial"/>
                <w:b/>
                <w:bCs/>
                <w:color w:val="FFFFFF"/>
              </w:rPr>
              <w:t>KPI</w:t>
            </w:r>
          </w:p>
        </w:tc>
        <w:tc>
          <w:tcPr>
            <w:tcW w:w="2793" w:type="dxa"/>
            <w:shd w:val="clear" w:color="auto" w:fill="005F82"/>
            <w:vAlign w:val="center"/>
          </w:tcPr>
          <w:p w14:paraId="1A74073B" w14:textId="77777777" w:rsidR="00BA0730" w:rsidRDefault="00000000">
            <w:pPr>
              <w:jc w:val="center"/>
              <w:rPr>
                <w:rFonts w:ascii="Arial" w:eastAsia="Arial" w:hAnsi="Arial" w:cs="Arial"/>
              </w:rPr>
            </w:pPr>
            <w:r>
              <w:rPr>
                <w:rFonts w:ascii="Arial" w:eastAsia="Arial" w:hAnsi="Arial" w:cs="Arial"/>
                <w:b/>
                <w:bCs/>
                <w:color w:val="FFFFFF"/>
              </w:rPr>
              <w:t>What to Measure</w:t>
            </w:r>
          </w:p>
        </w:tc>
        <w:tc>
          <w:tcPr>
            <w:tcW w:w="3438" w:type="dxa"/>
            <w:shd w:val="clear" w:color="auto" w:fill="005F82"/>
            <w:vAlign w:val="center"/>
          </w:tcPr>
          <w:p w14:paraId="70461412" w14:textId="77777777" w:rsidR="00BA0730" w:rsidRDefault="00000000">
            <w:pPr>
              <w:jc w:val="center"/>
              <w:rPr>
                <w:rFonts w:ascii="Arial" w:eastAsia="Arial" w:hAnsi="Arial" w:cs="Arial"/>
              </w:rPr>
            </w:pPr>
            <w:r>
              <w:rPr>
                <w:rFonts w:ascii="Arial" w:eastAsia="Arial" w:hAnsi="Arial" w:cs="Arial"/>
                <w:b/>
                <w:bCs/>
                <w:color w:val="FFFFFF"/>
              </w:rPr>
              <w:t>How to Measure</w:t>
            </w:r>
          </w:p>
        </w:tc>
        <w:tc>
          <w:tcPr>
            <w:tcW w:w="910" w:type="dxa"/>
            <w:shd w:val="clear" w:color="auto" w:fill="005F82"/>
            <w:vAlign w:val="center"/>
          </w:tcPr>
          <w:p w14:paraId="4B7CF07C" w14:textId="77777777" w:rsidR="00BA0730" w:rsidRDefault="00000000">
            <w:pPr>
              <w:jc w:val="center"/>
              <w:rPr>
                <w:rFonts w:ascii="Arial" w:eastAsia="Arial" w:hAnsi="Arial" w:cs="Arial"/>
              </w:rPr>
            </w:pPr>
            <w:r>
              <w:rPr>
                <w:rFonts w:ascii="Arial" w:eastAsia="Arial" w:hAnsi="Arial" w:cs="Arial"/>
                <w:b/>
                <w:bCs/>
                <w:color w:val="FFFFFF"/>
              </w:rPr>
              <w:t>Weight</w:t>
            </w:r>
          </w:p>
        </w:tc>
      </w:tr>
    </w:tbl>
    <w:p w14:paraId="32E8741F" w14:textId="77777777" w:rsidR="00BA0730" w:rsidRDefault="00BA0730">
      <w:pPr>
        <w:widowControl w:val="0"/>
        <w:pBdr>
          <w:top w:val="nil"/>
          <w:left w:val="nil"/>
          <w:bottom w:val="nil"/>
          <w:right w:val="nil"/>
          <w:between w:val="nil"/>
        </w:pBdr>
      </w:pPr>
    </w:p>
    <w:tbl>
      <w:tblPr>
        <w:tblStyle w:val="a1"/>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209"/>
        <w:gridCol w:w="2793"/>
        <w:gridCol w:w="3438"/>
        <w:gridCol w:w="910"/>
      </w:tblGrid>
      <w:tr w:rsidR="00BA0730" w14:paraId="6A4285FD" w14:textId="77777777">
        <w:trPr>
          <w:jc w:val="center"/>
        </w:trPr>
        <w:tc>
          <w:tcPr>
            <w:tcW w:w="2209" w:type="dxa"/>
          </w:tcPr>
          <w:p w14:paraId="1ABB8954" w14:textId="77777777" w:rsidR="00BA0730" w:rsidRDefault="00000000">
            <w:r>
              <w:t>Commercial contribution</w:t>
            </w:r>
          </w:p>
        </w:tc>
        <w:tc>
          <w:tcPr>
            <w:tcW w:w="2793" w:type="dxa"/>
          </w:tcPr>
          <w:p w14:paraId="27901A9B" w14:textId="77777777" w:rsidR="00BA0730" w:rsidRDefault="00000000">
            <w:r>
              <w:t>Support to new business, PR retainer proposals, upsell opportunities and profitability discipline.</w:t>
            </w:r>
          </w:p>
        </w:tc>
        <w:tc>
          <w:tcPr>
            <w:tcW w:w="3438" w:type="dxa"/>
          </w:tcPr>
          <w:p w14:paraId="5E5983E6" w14:textId="77777777" w:rsidR="00BA0730" w:rsidRDefault="00000000">
            <w:r>
              <w:t>Proposal contribution log, accepted PR scopes, margin review, approved budgets and PO compliance.</w:t>
            </w:r>
          </w:p>
        </w:tc>
        <w:tc>
          <w:tcPr>
            <w:tcW w:w="910" w:type="dxa"/>
          </w:tcPr>
          <w:p w14:paraId="2B25F55C" w14:textId="77777777" w:rsidR="00BA0730" w:rsidRDefault="00000000">
            <w:pPr>
              <w:jc w:val="center"/>
            </w:pPr>
            <w:r>
              <w:t>40%</w:t>
            </w:r>
          </w:p>
        </w:tc>
      </w:tr>
    </w:tbl>
    <w:p w14:paraId="151B2443" w14:textId="77777777" w:rsidR="00BA0730" w:rsidRDefault="00BA0730">
      <w:pPr>
        <w:widowControl w:val="0"/>
        <w:pBdr>
          <w:top w:val="nil"/>
          <w:left w:val="nil"/>
          <w:bottom w:val="nil"/>
          <w:right w:val="nil"/>
          <w:between w:val="nil"/>
        </w:pBdr>
      </w:pPr>
    </w:p>
    <w:tbl>
      <w:tblPr>
        <w:tblStyle w:val="a2"/>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209"/>
        <w:gridCol w:w="2793"/>
        <w:gridCol w:w="3438"/>
        <w:gridCol w:w="910"/>
      </w:tblGrid>
      <w:tr w:rsidR="00BA0730" w14:paraId="2FDB4464" w14:textId="77777777">
        <w:trPr>
          <w:jc w:val="center"/>
        </w:trPr>
        <w:tc>
          <w:tcPr>
            <w:tcW w:w="2209" w:type="dxa"/>
          </w:tcPr>
          <w:p w14:paraId="4D4AE0A7" w14:textId="77777777" w:rsidR="00BA0730" w:rsidRDefault="00000000">
            <w:pPr>
              <w:rPr>
                <w:rFonts w:ascii="Arial" w:eastAsia="Arial" w:hAnsi="Arial" w:cs="Arial"/>
              </w:rPr>
            </w:pPr>
            <w:r>
              <w:rPr>
                <w:rFonts w:ascii="Arial" w:eastAsia="Arial" w:hAnsi="Arial" w:cs="Arial"/>
              </w:rPr>
              <w:t>PR strategy and execution discipline</w:t>
            </w:r>
          </w:p>
        </w:tc>
        <w:tc>
          <w:tcPr>
            <w:tcW w:w="2793" w:type="dxa"/>
          </w:tcPr>
          <w:p w14:paraId="4C9936FE" w14:textId="77777777" w:rsidR="00BA0730" w:rsidRDefault="00000000">
            <w:pPr>
              <w:rPr>
                <w:rFonts w:ascii="Arial" w:eastAsia="Arial" w:hAnsi="Arial" w:cs="Arial"/>
              </w:rPr>
            </w:pPr>
            <w:r>
              <w:rPr>
                <w:rFonts w:ascii="Arial" w:eastAsia="Arial" w:hAnsi="Arial" w:cs="Arial"/>
              </w:rPr>
              <w:t>Approved PR plans, campaign calendars, media lists, messaging frameworks and execution trackers delivered on time.</w:t>
            </w:r>
          </w:p>
        </w:tc>
        <w:tc>
          <w:tcPr>
            <w:tcW w:w="3438" w:type="dxa"/>
          </w:tcPr>
          <w:p w14:paraId="2CDF7D53" w14:textId="77777777" w:rsidR="00BA0730" w:rsidRDefault="00000000">
            <w:pPr>
              <w:rPr>
                <w:rFonts w:ascii="Arial" w:eastAsia="Arial" w:hAnsi="Arial" w:cs="Arial"/>
              </w:rPr>
            </w:pPr>
            <w:r>
              <w:rPr>
                <w:rFonts w:ascii="Arial" w:eastAsia="Arial" w:hAnsi="Arial" w:cs="Arial"/>
              </w:rPr>
              <w:t>Monthly status review against approved scope, campaign milestones, internal SLAs and client approvals.</w:t>
            </w:r>
          </w:p>
        </w:tc>
        <w:tc>
          <w:tcPr>
            <w:tcW w:w="910" w:type="dxa"/>
          </w:tcPr>
          <w:p w14:paraId="14D7A4D5" w14:textId="77777777" w:rsidR="00BA0730" w:rsidRDefault="00000000">
            <w:pPr>
              <w:jc w:val="center"/>
              <w:rPr>
                <w:rFonts w:ascii="Arial" w:eastAsia="Arial" w:hAnsi="Arial" w:cs="Arial"/>
              </w:rPr>
            </w:pPr>
            <w:r>
              <w:rPr>
                <w:rFonts w:ascii="Arial" w:eastAsia="Arial" w:hAnsi="Arial" w:cs="Arial"/>
              </w:rPr>
              <w:t>10%</w:t>
            </w:r>
          </w:p>
        </w:tc>
      </w:tr>
      <w:tr w:rsidR="00BA0730" w14:paraId="7DF605DB" w14:textId="77777777">
        <w:trPr>
          <w:jc w:val="center"/>
        </w:trPr>
        <w:tc>
          <w:tcPr>
            <w:tcW w:w="2209" w:type="dxa"/>
          </w:tcPr>
          <w:p w14:paraId="09DB6EF9" w14:textId="77777777" w:rsidR="00BA0730" w:rsidRDefault="00000000">
            <w:pPr>
              <w:rPr>
                <w:rFonts w:ascii="Arial" w:eastAsia="Arial" w:hAnsi="Arial" w:cs="Arial"/>
              </w:rPr>
            </w:pPr>
            <w:r>
              <w:rPr>
                <w:rFonts w:ascii="Arial" w:eastAsia="Arial" w:hAnsi="Arial" w:cs="Arial"/>
              </w:rPr>
              <w:t>Earned media quality and relevance</w:t>
            </w:r>
          </w:p>
        </w:tc>
        <w:tc>
          <w:tcPr>
            <w:tcW w:w="2793" w:type="dxa"/>
          </w:tcPr>
          <w:p w14:paraId="423CF43D" w14:textId="77777777" w:rsidR="00BA0730" w:rsidRDefault="00000000">
            <w:pPr>
              <w:rPr>
                <w:rFonts w:ascii="Arial" w:eastAsia="Arial" w:hAnsi="Arial" w:cs="Arial"/>
              </w:rPr>
            </w:pPr>
            <w:r>
              <w:rPr>
                <w:rFonts w:ascii="Arial" w:eastAsia="Arial" w:hAnsi="Arial" w:cs="Arial"/>
              </w:rPr>
              <w:t>Quality, relevance and credibility of secured coverage, including target media fit, message pull-through and audience relevance.</w:t>
            </w:r>
          </w:p>
        </w:tc>
        <w:tc>
          <w:tcPr>
            <w:tcW w:w="3438" w:type="dxa"/>
          </w:tcPr>
          <w:p w14:paraId="3772A153" w14:textId="77777777" w:rsidR="00BA0730" w:rsidRDefault="00000000">
            <w:pPr>
              <w:rPr>
                <w:rFonts w:ascii="Arial" w:eastAsia="Arial" w:hAnsi="Arial" w:cs="Arial"/>
              </w:rPr>
            </w:pPr>
            <w:r>
              <w:rPr>
                <w:rFonts w:ascii="Arial" w:eastAsia="Arial" w:hAnsi="Arial" w:cs="Arial"/>
              </w:rPr>
              <w:t>Coverage tracker; weighted coverage score; message pull-through review; share of voice and sentiment analysis.</w:t>
            </w:r>
          </w:p>
        </w:tc>
        <w:tc>
          <w:tcPr>
            <w:tcW w:w="910" w:type="dxa"/>
          </w:tcPr>
          <w:p w14:paraId="43A3CCD6" w14:textId="77777777" w:rsidR="00BA0730" w:rsidRDefault="00000000">
            <w:pPr>
              <w:jc w:val="center"/>
              <w:rPr>
                <w:rFonts w:ascii="Arial" w:eastAsia="Arial" w:hAnsi="Arial" w:cs="Arial"/>
              </w:rPr>
            </w:pPr>
            <w:r>
              <w:rPr>
                <w:rFonts w:ascii="Arial" w:eastAsia="Arial" w:hAnsi="Arial" w:cs="Arial"/>
              </w:rPr>
              <w:t>10%</w:t>
            </w:r>
          </w:p>
        </w:tc>
      </w:tr>
      <w:tr w:rsidR="00BA0730" w14:paraId="2614B361" w14:textId="77777777">
        <w:trPr>
          <w:jc w:val="center"/>
        </w:trPr>
        <w:tc>
          <w:tcPr>
            <w:tcW w:w="2209" w:type="dxa"/>
          </w:tcPr>
          <w:p w14:paraId="624B93C6" w14:textId="77777777" w:rsidR="00BA0730" w:rsidRDefault="00000000">
            <w:pPr>
              <w:rPr>
                <w:rFonts w:ascii="Arial" w:eastAsia="Arial" w:hAnsi="Arial" w:cs="Arial"/>
              </w:rPr>
            </w:pPr>
            <w:r>
              <w:rPr>
                <w:rFonts w:ascii="Arial" w:eastAsia="Arial" w:hAnsi="Arial" w:cs="Arial"/>
              </w:rPr>
              <w:t>Client results and retention support</w:t>
            </w:r>
          </w:p>
        </w:tc>
        <w:tc>
          <w:tcPr>
            <w:tcW w:w="2793" w:type="dxa"/>
          </w:tcPr>
          <w:p w14:paraId="0870FE75" w14:textId="77777777" w:rsidR="00BA0730" w:rsidRDefault="00000000">
            <w:pPr>
              <w:rPr>
                <w:rFonts w:ascii="Arial" w:eastAsia="Arial" w:hAnsi="Arial" w:cs="Arial"/>
              </w:rPr>
            </w:pPr>
            <w:r>
              <w:rPr>
                <w:rFonts w:ascii="Arial" w:eastAsia="Arial" w:hAnsi="Arial" w:cs="Arial"/>
              </w:rPr>
              <w:t>Contribution to client satisfaction, campaign objectives, retainer renewal, account growth and trust in TDM's advisory.</w:t>
            </w:r>
          </w:p>
        </w:tc>
        <w:tc>
          <w:tcPr>
            <w:tcW w:w="3438" w:type="dxa"/>
          </w:tcPr>
          <w:p w14:paraId="71DE74B7" w14:textId="77777777" w:rsidR="00BA0730" w:rsidRDefault="00000000">
            <w:pPr>
              <w:rPr>
                <w:rFonts w:ascii="Arial" w:eastAsia="Arial" w:hAnsi="Arial" w:cs="Arial"/>
              </w:rPr>
            </w:pPr>
            <w:r>
              <w:rPr>
                <w:rFonts w:ascii="Arial" w:eastAsia="Arial" w:hAnsi="Arial" w:cs="Arial"/>
              </w:rPr>
              <w:t>Client feedback, renewal status, retainer growth, campaign review notes and documented value-add recommendations.</w:t>
            </w:r>
          </w:p>
        </w:tc>
        <w:tc>
          <w:tcPr>
            <w:tcW w:w="910" w:type="dxa"/>
          </w:tcPr>
          <w:p w14:paraId="7E3082BE" w14:textId="77777777" w:rsidR="00BA0730" w:rsidRDefault="00000000">
            <w:pPr>
              <w:jc w:val="center"/>
              <w:rPr>
                <w:rFonts w:ascii="Arial" w:eastAsia="Arial" w:hAnsi="Arial" w:cs="Arial"/>
              </w:rPr>
            </w:pPr>
            <w:r>
              <w:rPr>
                <w:rFonts w:ascii="Arial" w:eastAsia="Arial" w:hAnsi="Arial" w:cs="Arial"/>
              </w:rPr>
              <w:t>10%</w:t>
            </w:r>
          </w:p>
        </w:tc>
      </w:tr>
      <w:tr w:rsidR="00BA0730" w14:paraId="78704F2D" w14:textId="77777777">
        <w:trPr>
          <w:jc w:val="center"/>
        </w:trPr>
        <w:tc>
          <w:tcPr>
            <w:tcW w:w="2209" w:type="dxa"/>
          </w:tcPr>
          <w:p w14:paraId="03324990" w14:textId="77777777" w:rsidR="00BA0730" w:rsidRDefault="00000000">
            <w:pPr>
              <w:rPr>
                <w:rFonts w:ascii="Arial" w:eastAsia="Arial" w:hAnsi="Arial" w:cs="Arial"/>
              </w:rPr>
            </w:pPr>
            <w:r>
              <w:rPr>
                <w:rFonts w:ascii="Arial" w:eastAsia="Arial" w:hAnsi="Arial" w:cs="Arial"/>
              </w:rPr>
              <w:t>Quality assurance and rework reduction</w:t>
            </w:r>
          </w:p>
        </w:tc>
        <w:tc>
          <w:tcPr>
            <w:tcW w:w="2793" w:type="dxa"/>
          </w:tcPr>
          <w:p w14:paraId="3B3CCB11" w14:textId="77777777" w:rsidR="00BA0730" w:rsidRDefault="00000000">
            <w:pPr>
              <w:rPr>
                <w:rFonts w:ascii="Arial" w:eastAsia="Arial" w:hAnsi="Arial" w:cs="Arial"/>
              </w:rPr>
            </w:pPr>
            <w:r>
              <w:rPr>
                <w:rFonts w:ascii="Arial" w:eastAsia="Arial" w:hAnsi="Arial" w:cs="Arial"/>
              </w:rPr>
              <w:t xml:space="preserve">Accuracy, clarity, proofing quality, brand alignment and reduced </w:t>
            </w:r>
            <w:proofErr w:type="spellStart"/>
            <w:r>
              <w:rPr>
                <w:rFonts w:ascii="Arial" w:eastAsia="Arial" w:hAnsi="Arial" w:cs="Arial"/>
              </w:rPr>
              <w:t>rebriefs</w:t>
            </w:r>
            <w:proofErr w:type="spellEnd"/>
            <w:r>
              <w:rPr>
                <w:rFonts w:ascii="Arial" w:eastAsia="Arial" w:hAnsi="Arial" w:cs="Arial"/>
              </w:rPr>
              <w:t>/reworks on PR outputs.</w:t>
            </w:r>
          </w:p>
        </w:tc>
        <w:tc>
          <w:tcPr>
            <w:tcW w:w="3438" w:type="dxa"/>
          </w:tcPr>
          <w:p w14:paraId="26471609" w14:textId="77777777" w:rsidR="00BA0730" w:rsidRDefault="00000000">
            <w:pPr>
              <w:rPr>
                <w:rFonts w:ascii="Arial" w:eastAsia="Arial" w:hAnsi="Arial" w:cs="Arial"/>
              </w:rPr>
            </w:pPr>
            <w:r>
              <w:rPr>
                <w:rFonts w:ascii="Arial" w:eastAsia="Arial" w:hAnsi="Arial" w:cs="Arial"/>
              </w:rPr>
              <w:t>QA checklist, approval logs, number of avoidable revisions, factual errors and late correction incidents.</w:t>
            </w:r>
          </w:p>
        </w:tc>
        <w:tc>
          <w:tcPr>
            <w:tcW w:w="910" w:type="dxa"/>
          </w:tcPr>
          <w:p w14:paraId="10250CFF" w14:textId="77777777" w:rsidR="00BA0730" w:rsidRDefault="00000000">
            <w:pPr>
              <w:jc w:val="center"/>
              <w:rPr>
                <w:rFonts w:ascii="Arial" w:eastAsia="Arial" w:hAnsi="Arial" w:cs="Arial"/>
              </w:rPr>
            </w:pPr>
            <w:r>
              <w:rPr>
                <w:rFonts w:ascii="Arial" w:eastAsia="Arial" w:hAnsi="Arial" w:cs="Arial"/>
              </w:rPr>
              <w:t>10%</w:t>
            </w:r>
          </w:p>
        </w:tc>
      </w:tr>
      <w:tr w:rsidR="00BA0730" w14:paraId="112219BD" w14:textId="77777777">
        <w:trPr>
          <w:jc w:val="center"/>
        </w:trPr>
        <w:tc>
          <w:tcPr>
            <w:tcW w:w="2209" w:type="dxa"/>
          </w:tcPr>
          <w:p w14:paraId="079A6890" w14:textId="77777777" w:rsidR="00BA0730" w:rsidRDefault="00000000">
            <w:pPr>
              <w:rPr>
                <w:rFonts w:ascii="Arial" w:eastAsia="Arial" w:hAnsi="Arial" w:cs="Arial"/>
              </w:rPr>
            </w:pPr>
            <w:r>
              <w:rPr>
                <w:rFonts w:ascii="Arial" w:eastAsia="Arial" w:hAnsi="Arial" w:cs="Arial"/>
              </w:rPr>
              <w:t>Risk, issue and crisis management</w:t>
            </w:r>
          </w:p>
        </w:tc>
        <w:tc>
          <w:tcPr>
            <w:tcW w:w="2793" w:type="dxa"/>
          </w:tcPr>
          <w:p w14:paraId="49AA0F7D" w14:textId="77777777" w:rsidR="00BA0730" w:rsidRDefault="00000000">
            <w:pPr>
              <w:rPr>
                <w:rFonts w:ascii="Arial" w:eastAsia="Arial" w:hAnsi="Arial" w:cs="Arial"/>
              </w:rPr>
            </w:pPr>
            <w:r>
              <w:rPr>
                <w:rFonts w:ascii="Arial" w:eastAsia="Arial" w:hAnsi="Arial" w:cs="Arial"/>
              </w:rPr>
              <w:t>Timely identification, escalation and management of reputational risks, crisis issues and sensitive client matters.</w:t>
            </w:r>
          </w:p>
        </w:tc>
        <w:tc>
          <w:tcPr>
            <w:tcW w:w="3438" w:type="dxa"/>
          </w:tcPr>
          <w:p w14:paraId="1C210A93" w14:textId="77777777" w:rsidR="00BA0730" w:rsidRDefault="00000000">
            <w:pPr>
              <w:rPr>
                <w:rFonts w:ascii="Arial" w:eastAsia="Arial" w:hAnsi="Arial" w:cs="Arial"/>
              </w:rPr>
            </w:pPr>
            <w:r>
              <w:rPr>
                <w:rFonts w:ascii="Arial" w:eastAsia="Arial" w:hAnsi="Arial" w:cs="Arial"/>
              </w:rPr>
              <w:t>Issue log, escalation records, response times, post-incident review and client sign-off on response approach.</w:t>
            </w:r>
          </w:p>
        </w:tc>
        <w:tc>
          <w:tcPr>
            <w:tcW w:w="910" w:type="dxa"/>
          </w:tcPr>
          <w:p w14:paraId="3A9F6CEA" w14:textId="77777777" w:rsidR="00BA0730" w:rsidRDefault="00000000">
            <w:pPr>
              <w:jc w:val="center"/>
              <w:rPr>
                <w:rFonts w:ascii="Arial" w:eastAsia="Arial" w:hAnsi="Arial" w:cs="Arial"/>
              </w:rPr>
            </w:pPr>
            <w:r>
              <w:rPr>
                <w:rFonts w:ascii="Arial" w:eastAsia="Arial" w:hAnsi="Arial" w:cs="Arial"/>
              </w:rPr>
              <w:t>10%</w:t>
            </w:r>
          </w:p>
        </w:tc>
      </w:tr>
      <w:tr w:rsidR="00BA0730" w14:paraId="51178B45" w14:textId="77777777">
        <w:trPr>
          <w:jc w:val="center"/>
        </w:trPr>
        <w:tc>
          <w:tcPr>
            <w:tcW w:w="2209" w:type="dxa"/>
          </w:tcPr>
          <w:p w14:paraId="64421B22" w14:textId="77777777" w:rsidR="00BA0730" w:rsidRDefault="00000000">
            <w:pPr>
              <w:rPr>
                <w:rFonts w:ascii="Arial" w:eastAsia="Arial" w:hAnsi="Arial" w:cs="Arial"/>
              </w:rPr>
            </w:pPr>
            <w:r>
              <w:rPr>
                <w:rFonts w:ascii="Arial" w:eastAsia="Arial" w:hAnsi="Arial" w:cs="Arial"/>
              </w:rPr>
              <w:t>Collaboration and process compliance</w:t>
            </w:r>
          </w:p>
        </w:tc>
        <w:tc>
          <w:tcPr>
            <w:tcW w:w="2793" w:type="dxa"/>
          </w:tcPr>
          <w:p w14:paraId="5717DF63" w14:textId="77777777" w:rsidR="00BA0730" w:rsidRDefault="00000000">
            <w:pPr>
              <w:rPr>
                <w:rFonts w:ascii="Arial" w:eastAsia="Arial" w:hAnsi="Arial" w:cs="Arial"/>
              </w:rPr>
            </w:pPr>
            <w:r>
              <w:rPr>
                <w:rFonts w:ascii="Arial" w:eastAsia="Arial" w:hAnsi="Arial" w:cs="Arial"/>
              </w:rPr>
              <w:t xml:space="preserve">Effective work with Client Service, Creative, Digital, Media and Analytics </w:t>
            </w:r>
            <w:r>
              <w:rPr>
                <w:rFonts w:ascii="Arial" w:eastAsia="Arial" w:hAnsi="Arial" w:cs="Arial"/>
              </w:rPr>
              <w:lastRenderedPageBreak/>
              <w:t>teams using RACI, briefs, status sheets and agreed communication protocols.</w:t>
            </w:r>
          </w:p>
        </w:tc>
        <w:tc>
          <w:tcPr>
            <w:tcW w:w="3438" w:type="dxa"/>
          </w:tcPr>
          <w:p w14:paraId="49E1B25B" w14:textId="77777777" w:rsidR="00BA0730" w:rsidRDefault="00000000">
            <w:pPr>
              <w:rPr>
                <w:rFonts w:ascii="Arial" w:eastAsia="Arial" w:hAnsi="Arial" w:cs="Arial"/>
              </w:rPr>
            </w:pPr>
            <w:r>
              <w:rPr>
                <w:rFonts w:ascii="Arial" w:eastAsia="Arial" w:hAnsi="Arial" w:cs="Arial"/>
              </w:rPr>
              <w:lastRenderedPageBreak/>
              <w:t xml:space="preserve">Internal SLA compliance, meeting preparedness, status </w:t>
            </w:r>
            <w:r>
              <w:rPr>
                <w:rFonts w:ascii="Arial" w:eastAsia="Arial" w:hAnsi="Arial" w:cs="Arial"/>
              </w:rPr>
              <w:lastRenderedPageBreak/>
              <w:t>sheet accuracy, issue resolution and peer feedback.</w:t>
            </w:r>
          </w:p>
        </w:tc>
        <w:tc>
          <w:tcPr>
            <w:tcW w:w="910" w:type="dxa"/>
          </w:tcPr>
          <w:p w14:paraId="72841B48" w14:textId="77777777" w:rsidR="00BA0730" w:rsidRDefault="00000000">
            <w:pPr>
              <w:jc w:val="center"/>
              <w:rPr>
                <w:rFonts w:ascii="Arial" w:eastAsia="Arial" w:hAnsi="Arial" w:cs="Arial"/>
              </w:rPr>
            </w:pPr>
            <w:r>
              <w:rPr>
                <w:rFonts w:ascii="Arial" w:eastAsia="Arial" w:hAnsi="Arial" w:cs="Arial"/>
              </w:rPr>
              <w:lastRenderedPageBreak/>
              <w:t>10%</w:t>
            </w:r>
          </w:p>
        </w:tc>
      </w:tr>
    </w:tbl>
    <w:p w14:paraId="0F46C87C" w14:textId="77777777" w:rsidR="00BA0730" w:rsidRDefault="00000000">
      <w:pPr>
        <w:spacing w:after="40" w:line="259" w:lineRule="auto"/>
        <w:jc w:val="both"/>
      </w:pPr>
      <w:r>
        <w:rPr>
          <w:i/>
          <w:iCs/>
          <w:color w:val="5A5A5A"/>
        </w:rPr>
        <w:t>Note: KPI weights total 100% and can be adapted to seniority, reporting line and contract type.</w:t>
      </w:r>
    </w:p>
    <w:p w14:paraId="2985FE89" w14:textId="77777777" w:rsidR="00BA0730" w:rsidRDefault="00000000">
      <w:pPr>
        <w:pStyle w:val="Heading2"/>
        <w:spacing w:before="80" w:after="80"/>
        <w:rPr>
          <w:sz w:val="22"/>
          <w:szCs w:val="22"/>
        </w:rPr>
      </w:pPr>
      <w:bookmarkStart w:id="4" w:name="_heading=h.rizbie45y56q" w:colFirst="0" w:colLast="0"/>
      <w:bookmarkEnd w:id="4"/>
      <w:r>
        <w:rPr>
          <w:b/>
          <w:bCs/>
          <w:color w:val="005F82"/>
          <w:sz w:val="22"/>
          <w:szCs w:val="22"/>
        </w:rPr>
        <w:t>Skills, Competencies and Qualifications</w:t>
      </w:r>
    </w:p>
    <w:tbl>
      <w:tblPr>
        <w:tblStyle w:val="a3"/>
        <w:tblW w:w="9350"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35"/>
        <w:gridCol w:w="7215"/>
      </w:tblGrid>
      <w:tr w:rsidR="00BA0730" w14:paraId="38E43423" w14:textId="77777777">
        <w:trPr>
          <w:tblHeader/>
          <w:jc w:val="center"/>
        </w:trPr>
        <w:tc>
          <w:tcPr>
            <w:tcW w:w="2135" w:type="dxa"/>
            <w:shd w:val="clear" w:color="auto" w:fill="005F82"/>
            <w:vAlign w:val="center"/>
          </w:tcPr>
          <w:p w14:paraId="14829E2C" w14:textId="77777777" w:rsidR="00BA0730" w:rsidRDefault="00000000">
            <w:pPr>
              <w:jc w:val="center"/>
              <w:rPr>
                <w:rFonts w:ascii="Arial" w:eastAsia="Arial" w:hAnsi="Arial" w:cs="Arial"/>
              </w:rPr>
            </w:pPr>
            <w:r>
              <w:rPr>
                <w:rFonts w:ascii="Arial" w:eastAsia="Arial" w:hAnsi="Arial" w:cs="Arial"/>
                <w:b/>
                <w:bCs/>
                <w:color w:val="FFFFFF"/>
              </w:rPr>
              <w:t>Area</w:t>
            </w:r>
          </w:p>
        </w:tc>
        <w:tc>
          <w:tcPr>
            <w:tcW w:w="7215" w:type="dxa"/>
            <w:shd w:val="clear" w:color="auto" w:fill="005F82"/>
            <w:vAlign w:val="center"/>
          </w:tcPr>
          <w:p w14:paraId="71FAADA3" w14:textId="77777777" w:rsidR="00BA0730" w:rsidRDefault="00000000">
            <w:pPr>
              <w:jc w:val="center"/>
              <w:rPr>
                <w:rFonts w:ascii="Arial" w:eastAsia="Arial" w:hAnsi="Arial" w:cs="Arial"/>
              </w:rPr>
            </w:pPr>
            <w:r>
              <w:rPr>
                <w:rFonts w:ascii="Arial" w:eastAsia="Arial" w:hAnsi="Arial" w:cs="Arial"/>
                <w:b/>
                <w:bCs/>
                <w:color w:val="FFFFFF"/>
              </w:rPr>
              <w:t>Requirement</w:t>
            </w:r>
          </w:p>
        </w:tc>
      </w:tr>
      <w:tr w:rsidR="00BA0730" w14:paraId="21612C1C" w14:textId="77777777">
        <w:trPr>
          <w:jc w:val="center"/>
        </w:trPr>
        <w:tc>
          <w:tcPr>
            <w:tcW w:w="2135" w:type="dxa"/>
          </w:tcPr>
          <w:p w14:paraId="25B0E82D" w14:textId="77777777" w:rsidR="00BA0730" w:rsidRDefault="00000000">
            <w:pPr>
              <w:rPr>
                <w:rFonts w:ascii="Arial" w:eastAsia="Arial" w:hAnsi="Arial" w:cs="Arial"/>
              </w:rPr>
            </w:pPr>
            <w:r>
              <w:rPr>
                <w:rFonts w:ascii="Arial" w:eastAsia="Arial" w:hAnsi="Arial" w:cs="Arial"/>
              </w:rPr>
              <w:t>Education and experience</w:t>
            </w:r>
          </w:p>
        </w:tc>
        <w:tc>
          <w:tcPr>
            <w:tcW w:w="7215" w:type="dxa"/>
          </w:tcPr>
          <w:p w14:paraId="0EC7C870" w14:textId="77777777" w:rsidR="00BA0730" w:rsidRDefault="00000000">
            <w:pPr>
              <w:rPr>
                <w:rFonts w:ascii="Arial" w:eastAsia="Arial" w:hAnsi="Arial" w:cs="Arial"/>
              </w:rPr>
            </w:pPr>
            <w:r>
              <w:rPr>
                <w:rFonts w:ascii="Arial" w:eastAsia="Arial" w:hAnsi="Arial" w:cs="Arial"/>
              </w:rPr>
              <w:t>Degree or diploma in Public Relations, Communications, Journalism, Marketing, Business or a related field. Recommended 4+ years' PR/account management experience, preferably in an agency or fast-paced communications environment.</w:t>
            </w:r>
          </w:p>
        </w:tc>
      </w:tr>
      <w:tr w:rsidR="00BA0730" w14:paraId="058AF5EB" w14:textId="77777777">
        <w:trPr>
          <w:jc w:val="center"/>
        </w:trPr>
        <w:tc>
          <w:tcPr>
            <w:tcW w:w="2135" w:type="dxa"/>
          </w:tcPr>
          <w:p w14:paraId="27E5E339" w14:textId="77777777" w:rsidR="00BA0730" w:rsidRDefault="00000000">
            <w:pPr>
              <w:rPr>
                <w:rFonts w:ascii="Arial" w:eastAsia="Arial" w:hAnsi="Arial" w:cs="Arial"/>
              </w:rPr>
            </w:pPr>
            <w:r>
              <w:rPr>
                <w:rFonts w:ascii="Arial" w:eastAsia="Arial" w:hAnsi="Arial" w:cs="Arial"/>
              </w:rPr>
              <w:t>Technical capability</w:t>
            </w:r>
          </w:p>
        </w:tc>
        <w:tc>
          <w:tcPr>
            <w:tcW w:w="7215" w:type="dxa"/>
          </w:tcPr>
          <w:p w14:paraId="394ACC43" w14:textId="77777777" w:rsidR="00BA0730" w:rsidRDefault="00000000">
            <w:pPr>
              <w:rPr>
                <w:rFonts w:ascii="Arial" w:eastAsia="Arial" w:hAnsi="Arial" w:cs="Arial"/>
              </w:rPr>
            </w:pPr>
            <w:r>
              <w:rPr>
                <w:rFonts w:ascii="Arial" w:eastAsia="Arial" w:hAnsi="Arial" w:cs="Arial"/>
              </w:rPr>
              <w:t>Strong media relations, PR planning, corporate communications, campaign execution, writing, editing, message development, crisis communication, media monitoring and reputation management skills.</w:t>
            </w:r>
          </w:p>
        </w:tc>
      </w:tr>
      <w:tr w:rsidR="00BA0730" w14:paraId="141B40B9" w14:textId="77777777">
        <w:trPr>
          <w:jc w:val="center"/>
        </w:trPr>
        <w:tc>
          <w:tcPr>
            <w:tcW w:w="2135" w:type="dxa"/>
          </w:tcPr>
          <w:p w14:paraId="3F08E81A" w14:textId="77777777" w:rsidR="00BA0730" w:rsidRDefault="00000000">
            <w:pPr>
              <w:rPr>
                <w:rFonts w:ascii="Arial" w:eastAsia="Arial" w:hAnsi="Arial" w:cs="Arial"/>
              </w:rPr>
            </w:pPr>
            <w:r>
              <w:rPr>
                <w:rFonts w:ascii="Arial" w:eastAsia="Arial" w:hAnsi="Arial" w:cs="Arial"/>
              </w:rPr>
              <w:t>Market knowledge</w:t>
            </w:r>
          </w:p>
        </w:tc>
        <w:tc>
          <w:tcPr>
            <w:tcW w:w="7215" w:type="dxa"/>
          </w:tcPr>
          <w:p w14:paraId="53BCFBF8" w14:textId="77777777" w:rsidR="00BA0730" w:rsidRDefault="00000000">
            <w:pPr>
              <w:rPr>
                <w:rFonts w:ascii="Arial" w:eastAsia="Arial" w:hAnsi="Arial" w:cs="Arial"/>
              </w:rPr>
            </w:pPr>
            <w:r>
              <w:rPr>
                <w:rFonts w:ascii="Arial" w:eastAsia="Arial" w:hAnsi="Arial" w:cs="Arial"/>
              </w:rPr>
              <w:t>Good understanding of Kenyan media, East African business environment, digital media influence, stakeholder mapping and sector-based media engagement.</w:t>
            </w:r>
          </w:p>
        </w:tc>
      </w:tr>
      <w:tr w:rsidR="00BA0730" w14:paraId="085697A8" w14:textId="77777777">
        <w:trPr>
          <w:jc w:val="center"/>
        </w:trPr>
        <w:tc>
          <w:tcPr>
            <w:tcW w:w="2135" w:type="dxa"/>
          </w:tcPr>
          <w:p w14:paraId="748EB4B2" w14:textId="77777777" w:rsidR="00BA0730" w:rsidRDefault="00000000">
            <w:pPr>
              <w:rPr>
                <w:rFonts w:ascii="Arial" w:eastAsia="Arial" w:hAnsi="Arial" w:cs="Arial"/>
              </w:rPr>
            </w:pPr>
            <w:r>
              <w:rPr>
                <w:rFonts w:ascii="Arial" w:eastAsia="Arial" w:hAnsi="Arial" w:cs="Arial"/>
              </w:rPr>
              <w:t>Commercial and account management</w:t>
            </w:r>
          </w:p>
        </w:tc>
        <w:tc>
          <w:tcPr>
            <w:tcW w:w="7215" w:type="dxa"/>
          </w:tcPr>
          <w:p w14:paraId="21B71969" w14:textId="77777777" w:rsidR="00BA0730" w:rsidRDefault="00000000">
            <w:pPr>
              <w:rPr>
                <w:rFonts w:ascii="Arial" w:eastAsia="Arial" w:hAnsi="Arial" w:cs="Arial"/>
              </w:rPr>
            </w:pPr>
            <w:r>
              <w:rPr>
                <w:rFonts w:ascii="Arial" w:eastAsia="Arial" w:hAnsi="Arial" w:cs="Arial"/>
              </w:rPr>
              <w:t>Ability to manage multiple clients, budgets, retainers, scopes, timelines, approvals, suppliers and client expectations without compromising quality or profitability.</w:t>
            </w:r>
          </w:p>
        </w:tc>
      </w:tr>
      <w:tr w:rsidR="00BA0730" w14:paraId="203E9E49" w14:textId="77777777">
        <w:trPr>
          <w:jc w:val="center"/>
        </w:trPr>
        <w:tc>
          <w:tcPr>
            <w:tcW w:w="2135" w:type="dxa"/>
          </w:tcPr>
          <w:p w14:paraId="7D04B895" w14:textId="77777777" w:rsidR="00BA0730" w:rsidRDefault="00000000">
            <w:pPr>
              <w:rPr>
                <w:rFonts w:ascii="Arial" w:eastAsia="Arial" w:hAnsi="Arial" w:cs="Arial"/>
              </w:rPr>
            </w:pPr>
            <w:r>
              <w:rPr>
                <w:rFonts w:ascii="Arial" w:eastAsia="Arial" w:hAnsi="Arial" w:cs="Arial"/>
              </w:rPr>
              <w:t>Tools and systems</w:t>
            </w:r>
          </w:p>
        </w:tc>
        <w:tc>
          <w:tcPr>
            <w:tcW w:w="7215" w:type="dxa"/>
          </w:tcPr>
          <w:p w14:paraId="392A20F1" w14:textId="77777777" w:rsidR="00BA0730" w:rsidRDefault="00000000">
            <w:pPr>
              <w:rPr>
                <w:rFonts w:ascii="Arial" w:eastAsia="Arial" w:hAnsi="Arial" w:cs="Arial"/>
              </w:rPr>
            </w:pPr>
            <w:r>
              <w:rPr>
                <w:rFonts w:ascii="Arial" w:eastAsia="Arial" w:hAnsi="Arial" w:cs="Arial"/>
              </w:rPr>
              <w:t>Competence in media monitoring tools, Excel/Google Sheets, presentation tools, project/status tracking tools, Zoho/Monday-style workflows and AI-enabled research or drafting tools, subject to human verification.</w:t>
            </w:r>
          </w:p>
        </w:tc>
      </w:tr>
      <w:tr w:rsidR="00BA0730" w14:paraId="04852336" w14:textId="77777777">
        <w:trPr>
          <w:jc w:val="center"/>
        </w:trPr>
        <w:tc>
          <w:tcPr>
            <w:tcW w:w="2135" w:type="dxa"/>
          </w:tcPr>
          <w:p w14:paraId="1D4B1D1B" w14:textId="77777777" w:rsidR="00BA0730" w:rsidRDefault="00000000">
            <w:pPr>
              <w:rPr>
                <w:rFonts w:ascii="Arial" w:eastAsia="Arial" w:hAnsi="Arial" w:cs="Arial"/>
              </w:rPr>
            </w:pPr>
            <w:r>
              <w:rPr>
                <w:rFonts w:ascii="Arial" w:eastAsia="Arial" w:hAnsi="Arial" w:cs="Arial"/>
              </w:rPr>
              <w:t>Core competencies</w:t>
            </w:r>
          </w:p>
        </w:tc>
        <w:tc>
          <w:tcPr>
            <w:tcW w:w="7215" w:type="dxa"/>
          </w:tcPr>
          <w:p w14:paraId="65A84C54" w14:textId="77777777" w:rsidR="00BA0730" w:rsidRDefault="00000000">
            <w:pPr>
              <w:rPr>
                <w:rFonts w:ascii="Arial" w:eastAsia="Arial" w:hAnsi="Arial" w:cs="Arial"/>
              </w:rPr>
            </w:pPr>
            <w:r>
              <w:rPr>
                <w:rFonts w:ascii="Arial" w:eastAsia="Arial" w:hAnsi="Arial" w:cs="Arial"/>
              </w:rPr>
              <w:t>Strategic thinking, excellent writing, client advisory confidence, attention to detail, problem-solving, collaboration, accountability, discretion, resilience and professional presence.</w:t>
            </w:r>
          </w:p>
        </w:tc>
      </w:tr>
      <w:tr w:rsidR="00BA0730" w14:paraId="3F5A1F39" w14:textId="77777777">
        <w:trPr>
          <w:jc w:val="center"/>
        </w:trPr>
        <w:tc>
          <w:tcPr>
            <w:tcW w:w="2135" w:type="dxa"/>
          </w:tcPr>
          <w:p w14:paraId="02A4894A" w14:textId="77777777" w:rsidR="00BA0730" w:rsidRDefault="00000000">
            <w:pPr>
              <w:rPr>
                <w:rFonts w:ascii="Arial" w:eastAsia="Arial" w:hAnsi="Arial" w:cs="Arial"/>
              </w:rPr>
            </w:pPr>
            <w:r>
              <w:rPr>
                <w:rFonts w:ascii="Arial" w:eastAsia="Arial" w:hAnsi="Arial" w:cs="Arial"/>
              </w:rPr>
              <w:t>TDM values fit</w:t>
            </w:r>
          </w:p>
        </w:tc>
        <w:tc>
          <w:tcPr>
            <w:tcW w:w="7215" w:type="dxa"/>
          </w:tcPr>
          <w:p w14:paraId="7D3397F9" w14:textId="77777777" w:rsidR="00BA0730" w:rsidRDefault="00000000">
            <w:pPr>
              <w:rPr>
                <w:rFonts w:ascii="Arial" w:eastAsia="Arial" w:hAnsi="Arial" w:cs="Arial"/>
              </w:rPr>
            </w:pPr>
            <w:r>
              <w:rPr>
                <w:rFonts w:ascii="Arial" w:eastAsia="Arial" w:hAnsi="Arial" w:cs="Arial"/>
              </w:rPr>
              <w:t>Demonstrates authenticity, innovation, courage, excellence and empowerment through credible advice, clear communication, ownership and consistent follow-through.</w:t>
            </w:r>
          </w:p>
        </w:tc>
      </w:tr>
    </w:tbl>
    <w:p w14:paraId="7F6CB089" w14:textId="53892A69" w:rsidR="00BA0730" w:rsidRDefault="00BA0730">
      <w:pPr>
        <w:jc w:val="both"/>
      </w:pPr>
    </w:p>
    <w:sectPr w:rsidR="00BA0730">
      <w:headerReference w:type="default" r:id="rId8"/>
      <w:footerReference w:type="default" r:id="rId9"/>
      <w:headerReference w:type="first" r:id="rId10"/>
      <w:footerReference w:type="first" r:id="rId11"/>
      <w:pgSz w:w="12240" w:h="15840"/>
      <w:pgMar w:top="2340" w:right="1440" w:bottom="1440" w:left="1440" w:header="720" w:footer="33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79A80" w14:textId="77777777" w:rsidR="00B73BAA" w:rsidRDefault="00B73BAA">
      <w:pPr>
        <w:spacing w:line="240" w:lineRule="auto"/>
      </w:pPr>
      <w:r>
        <w:separator/>
      </w:r>
    </w:p>
  </w:endnote>
  <w:endnote w:type="continuationSeparator" w:id="0">
    <w:p w14:paraId="49092593" w14:textId="77777777" w:rsidR="00B73BAA" w:rsidRDefault="00B73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D985E6C-E119-4987-B78C-BEC91FC80C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471DA47-CD73-488C-AFF0-8FDCB098E7C0}"/>
  </w:font>
  <w:font w:name="Montserrat">
    <w:charset w:val="00"/>
    <w:family w:val="auto"/>
    <w:pitch w:val="variable"/>
    <w:sig w:usb0="2000020F" w:usb1="00000003" w:usb2="00000000" w:usb3="00000000" w:csb0="00000197" w:csb1="00000000"/>
    <w:embedRegular r:id="rId3" w:fontKey="{A4C3EE4B-3F24-416A-94AD-6729CAA58F6E}"/>
    <w:embedBold r:id="rId4" w:fontKey="{EE85B698-0EB6-41C0-BA2A-9D07F50896BA}"/>
  </w:font>
  <w:font w:name="Calibri">
    <w:panose1 w:val="020F0502020204030204"/>
    <w:charset w:val="00"/>
    <w:family w:val="swiss"/>
    <w:pitch w:val="variable"/>
    <w:sig w:usb0="E4002EFF" w:usb1="C200247B" w:usb2="00000009" w:usb3="00000000" w:csb0="000001FF" w:csb1="00000000"/>
    <w:embedRegular r:id="rId5" w:fontKey="{6C9D61B4-4F53-4C65-AF32-2050CECF6E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A72B" w14:textId="77777777" w:rsidR="00BA0730" w:rsidRDefault="00BA0730"/>
  <w:tbl>
    <w:tblPr>
      <w:tblStyle w:val="aa"/>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50CC94C2"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9C0200" w14:textId="77777777" w:rsidR="00BA0730" w:rsidRDefault="00000000">
          <w:pPr>
            <w:spacing w:line="240" w:lineRule="auto"/>
          </w:pPr>
          <w:r>
            <w:rPr>
              <w:noProof/>
            </w:rPr>
            <w:drawing>
              <wp:inline distT="114300" distB="114300" distL="114300" distR="114300" wp14:anchorId="21B1803D" wp14:editId="31916606">
                <wp:extent cx="401982" cy="4048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058A9F" w14:textId="77777777" w:rsidR="00BA0730" w:rsidRDefault="00000000">
          <w:pPr>
            <w:widowControl w:val="0"/>
            <w:spacing w:line="240" w:lineRule="auto"/>
            <w:rPr>
              <w:rFonts w:ascii="Montserrat" w:eastAsia="Montserrat" w:hAnsi="Montserrat" w:cs="Montserrat"/>
              <w:b/>
              <w:bCs/>
              <w:sz w:val="16"/>
              <w:szCs w:val="16"/>
            </w:rPr>
          </w:pPr>
          <w:proofErr w:type="spellStart"/>
          <w:r>
            <w:rPr>
              <w:rFonts w:ascii="Montserrat" w:eastAsia="Montserrat" w:hAnsi="Montserrat" w:cs="Montserrat"/>
              <w:b/>
              <w:bCs/>
              <w:sz w:val="16"/>
              <w:szCs w:val="16"/>
            </w:rPr>
            <w:t>Suit</w:t>
          </w:r>
          <w:proofErr w:type="spellEnd"/>
          <w:r>
            <w:rPr>
              <w:rFonts w:ascii="Montserrat" w:eastAsia="Montserrat" w:hAnsi="Montserrat" w:cs="Montserrat"/>
              <w:b/>
              <w:bCs/>
              <w:sz w:val="16"/>
              <w:szCs w:val="16"/>
            </w:rPr>
            <w:t xml:space="preserve"> 14, Pergola Flats</w:t>
          </w:r>
        </w:p>
        <w:p w14:paraId="17A3E0B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EF7B23"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203C10F" wp14:editId="55121DDC">
                <wp:extent cx="442913" cy="442913"/>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538DD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0A7607D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6D17918E"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37D53E"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31070B7" wp14:editId="18C0F69F">
                <wp:extent cx="438150" cy="393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FC91A7"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286C7D4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0DC1F6"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DC1F8F2" wp14:editId="557824D1">
                <wp:extent cx="395288" cy="39528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D6DFAB"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5D4F9323"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373B7A8" w14:textId="77777777" w:rsidR="00BA0730" w:rsidRDefault="00BA073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F78D" w14:textId="77777777" w:rsidR="00BA0730" w:rsidRDefault="00BA0730"/>
  <w:p w14:paraId="31AACAD1" w14:textId="77777777" w:rsidR="00BA0730" w:rsidRDefault="00BA0730"/>
  <w:tbl>
    <w:tblPr>
      <w:tblStyle w:val="ab"/>
      <w:tblW w:w="1140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235"/>
      <w:gridCol w:w="855"/>
      <w:gridCol w:w="1800"/>
      <w:gridCol w:w="900"/>
      <w:gridCol w:w="1950"/>
      <w:gridCol w:w="1035"/>
      <w:gridCol w:w="1815"/>
    </w:tblGrid>
    <w:tr w:rsidR="00BA0730" w14:paraId="3953B984" w14:textId="77777777">
      <w:trPr>
        <w:trHeight w:val="945"/>
      </w:trPr>
      <w:tc>
        <w:tcPr>
          <w:tcW w:w="8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3391AA" w14:textId="77777777" w:rsidR="00BA0730" w:rsidRDefault="00000000">
          <w:pPr>
            <w:spacing w:line="240" w:lineRule="auto"/>
          </w:pPr>
          <w:r>
            <w:rPr>
              <w:noProof/>
            </w:rPr>
            <w:drawing>
              <wp:inline distT="114300" distB="114300" distL="114300" distR="114300" wp14:anchorId="5C39429E" wp14:editId="1BBD96BF">
                <wp:extent cx="401982" cy="40481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01982" cy="404813"/>
                        </a:xfrm>
                        <a:prstGeom prst="rect">
                          <a:avLst/>
                        </a:prstGeom>
                        <a:ln/>
                      </pic:spPr>
                    </pic:pic>
                  </a:graphicData>
                </a:graphic>
              </wp:inline>
            </w:drawing>
          </w:r>
        </w:p>
      </w:tc>
      <w:tc>
        <w:tcPr>
          <w:tcW w:w="2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67E326"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Suite 14, Pergola Flats,</w:t>
          </w:r>
        </w:p>
        <w:p w14:paraId="0D821215"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 xml:space="preserve">Jakaya Kikwete Road, </w:t>
          </w:r>
          <w:proofErr w:type="spellStart"/>
          <w:r>
            <w:rPr>
              <w:rFonts w:ascii="Montserrat" w:eastAsia="Montserrat" w:hAnsi="Montserrat" w:cs="Montserrat"/>
              <w:b/>
              <w:bCs/>
              <w:sz w:val="16"/>
              <w:szCs w:val="16"/>
            </w:rPr>
            <w:t>Milimani</w:t>
          </w:r>
          <w:proofErr w:type="spellEnd"/>
          <w:r>
            <w:rPr>
              <w:rFonts w:ascii="Montserrat" w:eastAsia="Montserrat" w:hAnsi="Montserrat" w:cs="Montserrat"/>
              <w:b/>
              <w:bCs/>
              <w:sz w:val="16"/>
              <w:szCs w:val="16"/>
            </w:rPr>
            <w:t>,</w:t>
          </w:r>
        </w:p>
        <w:p w14:paraId="51FC795C" w14:textId="77777777" w:rsidR="00BA0730" w:rsidRDefault="00BA0730">
          <w:pPr>
            <w:rPr>
              <w:rFonts w:ascii="Montserrat" w:eastAsia="Montserrat" w:hAnsi="Montserrat" w:cs="Montserrat"/>
              <w:b/>
              <w:bCs/>
              <w:sz w:val="16"/>
              <w:szCs w:val="16"/>
            </w:rPr>
          </w:pPr>
        </w:p>
        <w:p w14:paraId="5DC88E12" w14:textId="77777777" w:rsidR="00BA0730" w:rsidRDefault="00BA0730">
          <w:pPr>
            <w:rPr>
              <w:rFonts w:ascii="Montserrat" w:eastAsia="Montserrat" w:hAnsi="Montserrat" w:cs="Montserrat"/>
              <w:sz w:val="16"/>
              <w:szCs w:val="16"/>
            </w:rPr>
          </w:pPr>
        </w:p>
      </w:tc>
      <w:tc>
        <w:tcPr>
          <w:tcW w:w="8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FF2599"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534CCDB7" wp14:editId="447CC564">
                <wp:extent cx="442913" cy="442913"/>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42913" cy="442913"/>
                        </a:xfrm>
                        <a:prstGeom prst="rect">
                          <a:avLst/>
                        </a:prstGeom>
                        <a:ln/>
                      </pic:spPr>
                    </pic:pic>
                  </a:graphicData>
                </a:graphic>
              </wp:inline>
            </w:drawing>
          </w:r>
        </w:p>
      </w:tc>
      <w:tc>
        <w:tcPr>
          <w:tcW w:w="1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524F59"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P.O. Box 59925-00200</w:t>
          </w:r>
        </w:p>
        <w:p w14:paraId="44BAF168"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Nairobi, Kenya</w:t>
          </w:r>
        </w:p>
        <w:p w14:paraId="52CC0815" w14:textId="77777777" w:rsidR="00BA0730" w:rsidRDefault="00BA0730">
          <w:pPr>
            <w:widowControl w:val="0"/>
            <w:spacing w:line="240" w:lineRule="auto"/>
            <w:rPr>
              <w:rFonts w:ascii="Montserrat" w:eastAsia="Montserrat" w:hAnsi="Montserrat" w:cs="Montserrat"/>
              <w:sz w:val="16"/>
              <w:szCs w:val="16"/>
            </w:rPr>
          </w:pPr>
        </w:p>
      </w:tc>
      <w:tc>
        <w:tcPr>
          <w:tcW w:w="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5EFDA5"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01AD53FD" wp14:editId="717BCF66">
                <wp:extent cx="438150" cy="393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438150" cy="393700"/>
                        </a:xfrm>
                        <a:prstGeom prst="rect">
                          <a:avLst/>
                        </a:prstGeom>
                        <a:ln/>
                      </pic:spPr>
                    </pic:pic>
                  </a:graphicData>
                </a:graphic>
              </wp:inline>
            </w:drawing>
          </w:r>
        </w:p>
      </w:tc>
      <w:tc>
        <w:tcPr>
          <w:tcW w:w="19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3591FC"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dm@tdm.co.ke</w:t>
          </w:r>
        </w:p>
        <w:p w14:paraId="752E51E0"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www.tdm.co.ke</w:t>
          </w:r>
        </w:p>
      </w:tc>
      <w:tc>
        <w:tcPr>
          <w:tcW w:w="10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07FCC8" w14:textId="77777777" w:rsidR="00BA0730" w:rsidRDefault="00000000">
          <w:pPr>
            <w:spacing w:line="240" w:lineRule="auto"/>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14:anchorId="35D068A1" wp14:editId="174ABA8A">
                <wp:extent cx="395288" cy="395288"/>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395288" cy="395288"/>
                        </a:xfrm>
                        <a:prstGeom prst="rect">
                          <a:avLst/>
                        </a:prstGeom>
                        <a:ln/>
                      </pic:spPr>
                    </pic:pic>
                  </a:graphicData>
                </a:graphic>
              </wp:inline>
            </w:drawing>
          </w:r>
        </w:p>
      </w:tc>
      <w:tc>
        <w:tcPr>
          <w:tcW w:w="1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79489F"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+254 112 234 044</w:t>
          </w:r>
        </w:p>
        <w:p w14:paraId="75E3A592" w14:textId="77777777" w:rsidR="00BA0730" w:rsidRDefault="00000000">
          <w:pPr>
            <w:widowControl w:val="0"/>
            <w:spacing w:line="240" w:lineRule="auto"/>
            <w:rPr>
              <w:rFonts w:ascii="Montserrat" w:eastAsia="Montserrat" w:hAnsi="Montserrat" w:cs="Montserrat"/>
              <w:b/>
              <w:bCs/>
              <w:sz w:val="16"/>
              <w:szCs w:val="16"/>
            </w:rPr>
          </w:pPr>
          <w:r>
            <w:rPr>
              <w:rFonts w:ascii="Montserrat" w:eastAsia="Montserrat" w:hAnsi="Montserrat" w:cs="Montserrat"/>
              <w:b/>
              <w:bCs/>
              <w:sz w:val="16"/>
              <w:szCs w:val="16"/>
            </w:rPr>
            <w:t>+254 715 958 708</w:t>
          </w:r>
        </w:p>
      </w:tc>
    </w:tr>
  </w:tbl>
  <w:p w14:paraId="5C00D0F2" w14:textId="77777777" w:rsidR="00BA0730" w:rsidRDefault="00BA07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D8F42" w14:textId="77777777" w:rsidR="00B73BAA" w:rsidRDefault="00B73BAA">
      <w:pPr>
        <w:spacing w:line="240" w:lineRule="auto"/>
      </w:pPr>
      <w:r>
        <w:separator/>
      </w:r>
    </w:p>
  </w:footnote>
  <w:footnote w:type="continuationSeparator" w:id="0">
    <w:p w14:paraId="6E9A3C00" w14:textId="77777777" w:rsidR="00B73BAA" w:rsidRDefault="00B73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A5ED" w14:textId="77777777" w:rsidR="00BA0730" w:rsidRDefault="00BA0730"/>
  <w:tbl>
    <w:tblPr>
      <w:tblStyle w:val="a8"/>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477B1592" w14:textId="77777777">
      <w:tc>
        <w:tcPr>
          <w:tcW w:w="5625" w:type="dxa"/>
          <w:tcBorders>
            <w:top w:val="nil"/>
            <w:left w:val="nil"/>
            <w:bottom w:val="nil"/>
            <w:right w:val="nil"/>
          </w:tcBorders>
          <w:tcMar>
            <w:top w:w="100" w:type="dxa"/>
            <w:left w:w="100" w:type="dxa"/>
            <w:bottom w:w="100" w:type="dxa"/>
            <w:right w:w="100" w:type="dxa"/>
          </w:tcMar>
        </w:tcPr>
        <w:p w14:paraId="7F4F64BD" w14:textId="77777777" w:rsidR="00BA0730" w:rsidRDefault="00000000">
          <w:pPr>
            <w:widowControl w:val="0"/>
            <w:spacing w:line="240" w:lineRule="auto"/>
          </w:pPr>
          <w:r>
            <w:rPr>
              <w:noProof/>
            </w:rPr>
            <w:drawing>
              <wp:inline distT="114300" distB="114300" distL="114300" distR="114300" wp14:anchorId="561095C0" wp14:editId="554DB8A5">
                <wp:extent cx="1652588" cy="62194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52588" cy="621942"/>
                        </a:xfrm>
                        <a:prstGeom prst="rect">
                          <a:avLst/>
                        </a:prstGeom>
                        <a:ln/>
                      </pic:spPr>
                    </pic:pic>
                  </a:graphicData>
                </a:graphic>
              </wp:inline>
            </w:drawing>
          </w:r>
        </w:p>
      </w:tc>
      <w:tc>
        <w:tcPr>
          <w:tcW w:w="5730" w:type="dxa"/>
          <w:tcBorders>
            <w:top w:val="nil"/>
            <w:left w:val="nil"/>
            <w:bottom w:val="nil"/>
            <w:right w:val="nil"/>
          </w:tcBorders>
          <w:tcMar>
            <w:top w:w="100" w:type="dxa"/>
            <w:left w:w="100" w:type="dxa"/>
            <w:bottom w:w="100" w:type="dxa"/>
            <w:right w:w="100" w:type="dxa"/>
          </w:tcMar>
        </w:tcPr>
        <w:p w14:paraId="23D8993A"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57F7512A" w14:textId="77777777" w:rsidR="00BA0730" w:rsidRDefault="00BA07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52C2" w14:textId="77777777" w:rsidR="00BA0730" w:rsidRDefault="00000000">
    <w:r>
      <w:rPr>
        <w:noProof/>
      </w:rPr>
      <w:drawing>
        <wp:anchor distT="114300" distB="114300" distL="114300" distR="114300" simplePos="0" relativeHeight="251658240" behindDoc="0" locked="0" layoutInCell="1" hidden="0" allowOverlap="1" wp14:anchorId="7D295C02" wp14:editId="36BBC31F">
          <wp:simplePos x="0" y="0"/>
          <wp:positionH relativeFrom="column">
            <wp:posOffset>-319080</wp:posOffset>
          </wp:positionH>
          <wp:positionV relativeFrom="paragraph">
            <wp:posOffset>-72066</wp:posOffset>
          </wp:positionV>
          <wp:extent cx="1719263" cy="64357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9263" cy="643574"/>
                  </a:xfrm>
                  <a:prstGeom prst="rect">
                    <a:avLst/>
                  </a:prstGeom>
                  <a:ln/>
                </pic:spPr>
              </pic:pic>
            </a:graphicData>
          </a:graphic>
        </wp:anchor>
      </w:drawing>
    </w:r>
  </w:p>
  <w:tbl>
    <w:tblPr>
      <w:tblStyle w:val="a9"/>
      <w:tblW w:w="1135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5730"/>
    </w:tblGrid>
    <w:tr w:rsidR="00BA0730" w14:paraId="342548D3" w14:textId="77777777">
      <w:tc>
        <w:tcPr>
          <w:tcW w:w="5625" w:type="dxa"/>
          <w:tcBorders>
            <w:top w:val="nil"/>
            <w:left w:val="nil"/>
            <w:bottom w:val="nil"/>
            <w:right w:val="nil"/>
          </w:tcBorders>
          <w:tcMar>
            <w:top w:w="100" w:type="dxa"/>
            <w:left w:w="100" w:type="dxa"/>
            <w:bottom w:w="100" w:type="dxa"/>
            <w:right w:w="100" w:type="dxa"/>
          </w:tcMar>
        </w:tcPr>
        <w:p w14:paraId="3B28A90E" w14:textId="77777777" w:rsidR="00BA0730" w:rsidRDefault="00BA0730">
          <w:pPr>
            <w:widowControl w:val="0"/>
            <w:spacing w:line="240" w:lineRule="auto"/>
          </w:pPr>
        </w:p>
      </w:tc>
      <w:tc>
        <w:tcPr>
          <w:tcW w:w="5730" w:type="dxa"/>
          <w:tcBorders>
            <w:top w:val="nil"/>
            <w:left w:val="nil"/>
            <w:bottom w:val="nil"/>
            <w:right w:val="nil"/>
          </w:tcBorders>
          <w:tcMar>
            <w:top w:w="100" w:type="dxa"/>
            <w:left w:w="100" w:type="dxa"/>
            <w:bottom w:w="100" w:type="dxa"/>
            <w:right w:w="100" w:type="dxa"/>
          </w:tcMar>
        </w:tcPr>
        <w:p w14:paraId="21EA49FE" w14:textId="77777777" w:rsidR="00BA0730" w:rsidRDefault="00000000">
          <w:pPr>
            <w:widowControl w:val="0"/>
            <w:spacing w:line="240" w:lineRule="auto"/>
            <w:jc w:val="right"/>
            <w:rPr>
              <w:rFonts w:ascii="Montserrat" w:eastAsia="Montserrat" w:hAnsi="Montserrat" w:cs="Montserrat"/>
              <w:b/>
              <w:bCs/>
              <w:color w:val="666666"/>
            </w:rPr>
          </w:pPr>
          <w:r>
            <w:rPr>
              <w:rFonts w:ascii="Montserrat" w:eastAsia="Montserrat" w:hAnsi="Montserrat" w:cs="Montserrat"/>
              <w:b/>
              <w:bCs/>
              <w:color w:val="666666"/>
            </w:rPr>
            <w:t>www.tdm.co.ke</w:t>
          </w:r>
        </w:p>
      </w:tc>
    </w:tr>
  </w:tbl>
  <w:p w14:paraId="15679F4C" w14:textId="77777777" w:rsidR="00BA0730" w:rsidRDefault="00BA07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39CA"/>
    <w:multiLevelType w:val="multilevel"/>
    <w:tmpl w:val="EA52E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9956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30"/>
    <w:rsid w:val="000F31DE"/>
    <w:rsid w:val="000F5E71"/>
    <w:rsid w:val="002B43DD"/>
    <w:rsid w:val="0070531D"/>
    <w:rsid w:val="00A857AD"/>
    <w:rsid w:val="00B73BAA"/>
    <w:rsid w:val="00BA0730"/>
    <w:rsid w:val="00EE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2033"/>
  <w15:docId w15:val="{EDB6F76C-A6FA-4647-BFDD-54885638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P9ZMmNNR2ceN228G+umdhys+w==">CgMxLjAyDmguZDNnenVyZWkydWNlMg5oLnk1dzducWloOXFhYTIOaC5nOTQ2c3gxZzZnNjQyDmguMXlhNHV3eWhyaTJwMg5oLmNoZThycm9zem96aTIOaC5pbnltMDBoc3dnc3YyDmgucjdoOG10bHZjbDdiMg5oLnJpemJpZTQ1eTU2cTIOaC4xYzl1cTBld25sYzQyDmgucXFpOHU1eXh5cmRpMg5oLjgzYTExbmpicTZlNjINaC5mczN2ZDB6a21zdTIOaC5zZWtpZjdsaGM4czMyDmguamNkbnBoaHZib2c3Mg5oLmxhZXNidm8zNnZsdzIOaC5sMnJubDByZHRzbXcyDmgubDUxYjF5amVkYWdjMg5oLnlkbjltampxNDh5MDIOaC5sNWJocmFjdG55ZnYyDmgucm5vMHc1b2twcnEyOAByITFmU2VVbEdMUUNYUUtkV1dyMmpZS1BZVmk1R3Rzc2V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897</Words>
  <Characters>5113</Characters>
  <Application>Microsoft Office Word</Application>
  <DocSecurity>0</DocSecurity>
  <Lines>42</Lines>
  <Paragraphs>11</Paragraphs>
  <ScaleCrop>false</ScaleCrop>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2026-07-10T03:07:00Z</dcterms:created>
  <dcterms:modified xsi:type="dcterms:W3CDTF">2026-07-10T03:10:00Z</dcterms:modified>
</cp:coreProperties>
</file>